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C7C86" w14:textId="77777777" w:rsidR="00E23215" w:rsidRPr="00B6124D" w:rsidRDefault="00D5333F">
      <w:pPr>
        <w:autoSpaceDE w:val="0"/>
        <w:autoSpaceDN w:val="0"/>
        <w:adjustRightInd w:val="0"/>
        <w:spacing w:before="0"/>
        <w:ind w:left="-720" w:right="-360" w:firstLine="0"/>
        <w:jc w:val="center"/>
        <w:rPr>
          <w:sz w:val="22"/>
          <w:szCs w:val="22"/>
        </w:rPr>
      </w:pPr>
      <w:r w:rsidRPr="00B6124D">
        <w:rPr>
          <w:sz w:val="22"/>
          <w:szCs w:val="22"/>
        </w:rPr>
        <w:t>[</w:t>
      </w:r>
      <w:r w:rsidR="001D7B14" w:rsidRPr="00441CD8">
        <w:rPr>
          <w:b/>
          <w:sz w:val="22"/>
          <w:szCs w:val="22"/>
          <w:shd w:val="clear" w:color="auto" w:fill="BFBFBF" w:themeFill="background1" w:themeFillShade="BF"/>
        </w:rPr>
        <w:t>COMPANY NAME</w:t>
      </w:r>
      <w:r w:rsidR="001D7B14" w:rsidRPr="00B6124D">
        <w:rPr>
          <w:sz w:val="22"/>
          <w:szCs w:val="22"/>
        </w:rPr>
        <w:t>]</w:t>
      </w:r>
    </w:p>
    <w:p w14:paraId="2B01DC40" w14:textId="77777777" w:rsidR="00E23215" w:rsidRPr="00B6124D" w:rsidRDefault="00E23215">
      <w:pPr>
        <w:autoSpaceDE w:val="0"/>
        <w:autoSpaceDN w:val="0"/>
        <w:adjustRightInd w:val="0"/>
        <w:spacing w:before="0"/>
        <w:ind w:left="-720" w:right="-360" w:firstLine="0"/>
        <w:jc w:val="both"/>
        <w:rPr>
          <w:sz w:val="22"/>
          <w:szCs w:val="22"/>
        </w:rPr>
      </w:pPr>
    </w:p>
    <w:p w14:paraId="016B463D" w14:textId="77777777" w:rsidR="00E23215" w:rsidRPr="00B6124D" w:rsidRDefault="005F0A92">
      <w:pPr>
        <w:autoSpaceDE w:val="0"/>
        <w:autoSpaceDN w:val="0"/>
        <w:adjustRightInd w:val="0"/>
        <w:spacing w:before="0"/>
        <w:ind w:left="-720" w:right="-360" w:firstLine="0"/>
        <w:jc w:val="center"/>
        <w:rPr>
          <w:b/>
          <w:sz w:val="22"/>
          <w:szCs w:val="22"/>
        </w:rPr>
      </w:pPr>
      <w:r w:rsidRPr="00B6124D">
        <w:rPr>
          <w:b/>
          <w:sz w:val="22"/>
          <w:szCs w:val="22"/>
        </w:rPr>
        <w:t>SAFE</w:t>
      </w:r>
      <w:r w:rsidR="00843FC4" w:rsidRPr="00B6124D">
        <w:rPr>
          <w:b/>
          <w:sz w:val="22"/>
          <w:szCs w:val="22"/>
        </w:rPr>
        <w:t xml:space="preserve"> </w:t>
      </w:r>
    </w:p>
    <w:p w14:paraId="0B72547A" w14:textId="77777777" w:rsidR="00E05C7D" w:rsidRPr="00B6124D" w:rsidRDefault="0027570E">
      <w:pPr>
        <w:autoSpaceDE w:val="0"/>
        <w:autoSpaceDN w:val="0"/>
        <w:adjustRightInd w:val="0"/>
        <w:spacing w:before="0"/>
        <w:ind w:left="-720" w:right="-360" w:firstLine="0"/>
        <w:jc w:val="center"/>
        <w:rPr>
          <w:b/>
          <w:sz w:val="22"/>
          <w:szCs w:val="22"/>
        </w:rPr>
      </w:pPr>
      <w:r w:rsidRPr="00B6124D">
        <w:rPr>
          <w:b/>
          <w:sz w:val="22"/>
          <w:szCs w:val="22"/>
        </w:rPr>
        <w:t xml:space="preserve"> </w:t>
      </w:r>
      <w:r w:rsidR="00E05C7D" w:rsidRPr="00B6124D">
        <w:rPr>
          <w:b/>
          <w:sz w:val="22"/>
          <w:szCs w:val="22"/>
        </w:rPr>
        <w:t>(Simple Agreement for Future Equity</w:t>
      </w:r>
      <w:r w:rsidR="00A410F6" w:rsidRPr="00B6124D">
        <w:rPr>
          <w:b/>
          <w:sz w:val="22"/>
          <w:szCs w:val="22"/>
        </w:rPr>
        <w:t xml:space="preserve"> – for Estonian companies</w:t>
      </w:r>
      <w:r w:rsidR="00E05C7D" w:rsidRPr="00B6124D">
        <w:rPr>
          <w:b/>
          <w:sz w:val="22"/>
          <w:szCs w:val="22"/>
        </w:rPr>
        <w:t>)</w:t>
      </w:r>
    </w:p>
    <w:p w14:paraId="3C1F7648" w14:textId="77777777" w:rsidR="00E23215" w:rsidRPr="00B6124D" w:rsidRDefault="00E23215">
      <w:pPr>
        <w:autoSpaceDE w:val="0"/>
        <w:autoSpaceDN w:val="0"/>
        <w:adjustRightInd w:val="0"/>
        <w:spacing w:before="0"/>
        <w:ind w:left="-720" w:right="-360" w:firstLine="0"/>
        <w:rPr>
          <w:sz w:val="22"/>
          <w:szCs w:val="22"/>
        </w:rPr>
      </w:pPr>
    </w:p>
    <w:p w14:paraId="1E0982B6" w14:textId="7B0D1161" w:rsidR="00543E23" w:rsidRPr="00B6124D" w:rsidRDefault="0027570E" w:rsidP="00441CD8">
      <w:pPr>
        <w:autoSpaceDE w:val="0"/>
        <w:autoSpaceDN w:val="0"/>
        <w:adjustRightInd w:val="0"/>
        <w:spacing w:before="0" w:after="120"/>
        <w:ind w:firstLine="0"/>
        <w:jc w:val="both"/>
        <w:rPr>
          <w:sz w:val="22"/>
          <w:szCs w:val="22"/>
        </w:rPr>
      </w:pPr>
      <w:r w:rsidRPr="00B6124D">
        <w:rPr>
          <w:sz w:val="22"/>
          <w:szCs w:val="22"/>
        </w:rPr>
        <w:t>THIS CERTIFIES THAT in exchange for the payment by [</w:t>
      </w:r>
      <w:r w:rsidRPr="00441CD8">
        <w:rPr>
          <w:sz w:val="22"/>
          <w:szCs w:val="22"/>
          <w:shd w:val="clear" w:color="auto" w:fill="BFBFBF" w:themeFill="background1" w:themeFillShade="BF"/>
        </w:rPr>
        <w:t>Investor Name</w:t>
      </w:r>
      <w:r w:rsidRPr="00B6124D">
        <w:rPr>
          <w:sz w:val="22"/>
          <w:szCs w:val="22"/>
        </w:rPr>
        <w:t>]</w:t>
      </w:r>
      <w:r w:rsidR="00A410F6" w:rsidRPr="00B6124D">
        <w:rPr>
          <w:sz w:val="22"/>
          <w:szCs w:val="22"/>
        </w:rPr>
        <w:t>, a [</w:t>
      </w:r>
      <w:r w:rsidR="00BC4067" w:rsidRPr="00441CD8">
        <w:rPr>
          <w:sz w:val="22"/>
          <w:szCs w:val="22"/>
          <w:shd w:val="clear" w:color="auto" w:fill="BFBFBF" w:themeFill="background1" w:themeFillShade="BF"/>
        </w:rPr>
        <w:t>Country of Incorporation</w:t>
      </w:r>
      <w:r w:rsidR="00BC4067" w:rsidRPr="00B6124D">
        <w:rPr>
          <w:sz w:val="22"/>
          <w:szCs w:val="22"/>
        </w:rPr>
        <w:t>] entity with registration code/number [</w:t>
      </w:r>
      <w:r w:rsidR="00BC4067" w:rsidRPr="00441CD8">
        <w:rPr>
          <w:sz w:val="22"/>
          <w:szCs w:val="22"/>
          <w:shd w:val="clear" w:color="auto" w:fill="BFBFBF" w:themeFill="background1" w:themeFillShade="BF"/>
        </w:rPr>
        <w:t>insert</w:t>
      </w:r>
      <w:r w:rsidR="00BC4067" w:rsidRPr="00B6124D">
        <w:rPr>
          <w:sz w:val="22"/>
          <w:szCs w:val="22"/>
        </w:rPr>
        <w:t>]</w:t>
      </w:r>
      <w:r w:rsidRPr="00B6124D">
        <w:rPr>
          <w:sz w:val="22"/>
          <w:szCs w:val="22"/>
        </w:rPr>
        <w:t xml:space="preserve"> (the “</w:t>
      </w:r>
      <w:r w:rsidRPr="00B6124D">
        <w:rPr>
          <w:b/>
          <w:sz w:val="22"/>
          <w:szCs w:val="22"/>
        </w:rPr>
        <w:t>Investor</w:t>
      </w:r>
      <w:r w:rsidRPr="00B6124D">
        <w:rPr>
          <w:sz w:val="22"/>
          <w:szCs w:val="22"/>
        </w:rPr>
        <w:t xml:space="preserve">”) of </w:t>
      </w:r>
      <w:r w:rsidR="00BC4067" w:rsidRPr="00B6124D">
        <w:rPr>
          <w:sz w:val="22"/>
          <w:szCs w:val="22"/>
        </w:rPr>
        <w:t>[</w:t>
      </w:r>
      <w:r w:rsidR="00BC4067" w:rsidRPr="00441CD8">
        <w:rPr>
          <w:sz w:val="22"/>
          <w:szCs w:val="22"/>
          <w:shd w:val="clear" w:color="auto" w:fill="BFBFBF" w:themeFill="background1" w:themeFillShade="BF"/>
        </w:rPr>
        <w:t>insert currency</w:t>
      </w:r>
      <w:r w:rsidR="00BC4067" w:rsidRPr="00B6124D">
        <w:rPr>
          <w:sz w:val="22"/>
          <w:szCs w:val="22"/>
        </w:rPr>
        <w:t xml:space="preserve">] </w:t>
      </w:r>
      <w:r w:rsidRPr="00B6124D">
        <w:rPr>
          <w:sz w:val="22"/>
          <w:szCs w:val="22"/>
        </w:rPr>
        <w:t>[</w:t>
      </w:r>
      <w:r w:rsidRPr="00441CD8">
        <w:rPr>
          <w:sz w:val="22"/>
          <w:szCs w:val="22"/>
          <w:shd w:val="clear" w:color="auto" w:fill="BFBFBF" w:themeFill="background1" w:themeFillShade="BF"/>
        </w:rPr>
        <w:t>_____________</w:t>
      </w:r>
      <w:r w:rsidRPr="00B6124D">
        <w:rPr>
          <w:sz w:val="22"/>
          <w:szCs w:val="22"/>
        </w:rPr>
        <w:t>] (the “</w:t>
      </w:r>
      <w:r w:rsidRPr="00B6124D">
        <w:rPr>
          <w:b/>
          <w:sz w:val="22"/>
          <w:szCs w:val="22"/>
        </w:rPr>
        <w:t>Purchase Amount</w:t>
      </w:r>
      <w:r w:rsidRPr="00B6124D">
        <w:rPr>
          <w:sz w:val="22"/>
          <w:szCs w:val="22"/>
        </w:rPr>
        <w:t>”) on or about [</w:t>
      </w:r>
      <w:r w:rsidRPr="00441CD8">
        <w:rPr>
          <w:sz w:val="22"/>
          <w:szCs w:val="22"/>
          <w:shd w:val="clear" w:color="auto" w:fill="BFBFBF" w:themeFill="background1" w:themeFillShade="BF"/>
        </w:rPr>
        <w:t>Date of Safe</w:t>
      </w:r>
      <w:r w:rsidRPr="00B6124D">
        <w:rPr>
          <w:sz w:val="22"/>
          <w:szCs w:val="22"/>
        </w:rPr>
        <w:t>], [</w:t>
      </w:r>
      <w:r w:rsidRPr="00441CD8">
        <w:rPr>
          <w:sz w:val="22"/>
          <w:szCs w:val="22"/>
          <w:shd w:val="clear" w:color="auto" w:fill="BFBFBF" w:themeFill="background1" w:themeFillShade="BF"/>
        </w:rPr>
        <w:t>Company Name</w:t>
      </w:r>
      <w:r w:rsidRPr="00B6124D">
        <w:rPr>
          <w:sz w:val="22"/>
          <w:szCs w:val="22"/>
        </w:rPr>
        <w:t>], a</w:t>
      </w:r>
      <w:r w:rsidR="008D1831" w:rsidRPr="00B6124D">
        <w:rPr>
          <w:sz w:val="22"/>
          <w:szCs w:val="22"/>
        </w:rPr>
        <w:t>n Estonian</w:t>
      </w:r>
      <w:r w:rsidRPr="00B6124D">
        <w:rPr>
          <w:sz w:val="22"/>
          <w:szCs w:val="22"/>
        </w:rPr>
        <w:t xml:space="preserve"> </w:t>
      </w:r>
      <w:r w:rsidR="008D1831" w:rsidRPr="00B6124D">
        <w:rPr>
          <w:sz w:val="22"/>
          <w:szCs w:val="22"/>
        </w:rPr>
        <w:t xml:space="preserve">company </w:t>
      </w:r>
      <w:r w:rsidRPr="00B6124D">
        <w:rPr>
          <w:sz w:val="22"/>
          <w:szCs w:val="22"/>
        </w:rPr>
        <w:t>(the “</w:t>
      </w:r>
      <w:r w:rsidRPr="00B6124D">
        <w:rPr>
          <w:b/>
          <w:sz w:val="22"/>
          <w:szCs w:val="22"/>
        </w:rPr>
        <w:t>Company</w:t>
      </w:r>
      <w:r w:rsidRPr="00B6124D">
        <w:rPr>
          <w:sz w:val="22"/>
          <w:szCs w:val="22"/>
        </w:rPr>
        <w:t>”), issues to the Investor the right to certain shares of the Company’s Capital Stock, subject to the terms described below</w:t>
      </w:r>
      <w:r w:rsidR="00C96D36" w:rsidRPr="00B6124D">
        <w:rPr>
          <w:sz w:val="22"/>
          <w:szCs w:val="22"/>
        </w:rPr>
        <w:t>.</w:t>
      </w:r>
      <w:r w:rsidR="001D7B14" w:rsidRPr="00B6124D">
        <w:rPr>
          <w:sz w:val="22"/>
          <w:szCs w:val="22"/>
        </w:rPr>
        <w:t xml:space="preserve"> </w:t>
      </w:r>
    </w:p>
    <w:p w14:paraId="6DE8341D" w14:textId="45E9F150" w:rsidR="002022C3" w:rsidRPr="00B6124D" w:rsidRDefault="002022C3" w:rsidP="00441CD8">
      <w:pPr>
        <w:autoSpaceDE w:val="0"/>
        <w:autoSpaceDN w:val="0"/>
        <w:adjustRightInd w:val="0"/>
        <w:spacing w:before="0" w:after="120"/>
        <w:ind w:firstLine="0"/>
        <w:jc w:val="both"/>
        <w:rPr>
          <w:sz w:val="22"/>
          <w:szCs w:val="22"/>
        </w:rPr>
      </w:pPr>
      <w:r w:rsidRPr="00B6124D">
        <w:rPr>
          <w:sz w:val="22"/>
          <w:szCs w:val="22"/>
        </w:rPr>
        <w:t xml:space="preserve">This Safe </w:t>
      </w:r>
      <w:r w:rsidR="002874F8" w:rsidRPr="00B6124D">
        <w:rPr>
          <w:sz w:val="22"/>
          <w:szCs w:val="22"/>
        </w:rPr>
        <w:t xml:space="preserve">has not been disseminated or approved in any way by Y Combinator Management LLC or any of its affiliates. This Safe has been drafted based on </w:t>
      </w:r>
      <w:r w:rsidRPr="00B6124D">
        <w:rPr>
          <w:sz w:val="22"/>
          <w:szCs w:val="22"/>
        </w:rPr>
        <w:t xml:space="preserve">one of the forms available at </w:t>
      </w:r>
      <w:hyperlink r:id="rId9" w:history="1">
        <w:r w:rsidRPr="00B6124D">
          <w:rPr>
            <w:rStyle w:val="Hyperlink"/>
            <w:sz w:val="22"/>
            <w:szCs w:val="22"/>
          </w:rPr>
          <w:t>http://ycombinator.com/documents</w:t>
        </w:r>
      </w:hyperlink>
      <w:r w:rsidR="002874F8" w:rsidRPr="00B6124D">
        <w:t>,</w:t>
      </w:r>
      <w:r w:rsidR="002874F8" w:rsidRPr="00B6124D">
        <w:rPr>
          <w:sz w:val="22"/>
          <w:szCs w:val="22"/>
        </w:rPr>
        <w:t xml:space="preserve"> but it has been modified to take into consideration the laws of Estonia.</w:t>
      </w:r>
      <w:r w:rsidRPr="00B6124D">
        <w:rPr>
          <w:sz w:val="22"/>
          <w:szCs w:val="22"/>
        </w:rPr>
        <w:t xml:space="preserve"> </w:t>
      </w:r>
    </w:p>
    <w:p w14:paraId="09912C88" w14:textId="77777777" w:rsidR="00543E23" w:rsidRPr="00B6124D" w:rsidRDefault="00945EAA" w:rsidP="00441CD8">
      <w:pPr>
        <w:autoSpaceDE w:val="0"/>
        <w:autoSpaceDN w:val="0"/>
        <w:adjustRightInd w:val="0"/>
        <w:spacing w:before="0" w:after="120"/>
        <w:ind w:firstLine="0"/>
        <w:jc w:val="both"/>
        <w:rPr>
          <w:sz w:val="22"/>
          <w:szCs w:val="22"/>
        </w:rPr>
      </w:pPr>
      <w:r w:rsidRPr="00B6124D">
        <w:rPr>
          <w:rFonts w:eastAsia="Calibri"/>
          <w:sz w:val="22"/>
          <w:szCs w:val="22"/>
        </w:rPr>
        <w:t>The “</w:t>
      </w:r>
      <w:r w:rsidR="00092136" w:rsidRPr="00B6124D">
        <w:rPr>
          <w:b/>
          <w:sz w:val="22"/>
          <w:szCs w:val="22"/>
        </w:rPr>
        <w:t>Post</w:t>
      </w:r>
      <w:r w:rsidR="006645E8" w:rsidRPr="00B6124D">
        <w:rPr>
          <w:b/>
          <w:sz w:val="22"/>
          <w:szCs w:val="22"/>
        </w:rPr>
        <w:t>-M</w:t>
      </w:r>
      <w:r w:rsidR="00092136" w:rsidRPr="00B6124D">
        <w:rPr>
          <w:b/>
          <w:sz w:val="22"/>
          <w:szCs w:val="22"/>
        </w:rPr>
        <w:t>oney Valuation Cap</w:t>
      </w:r>
      <w:r w:rsidRPr="00B6124D">
        <w:rPr>
          <w:sz w:val="22"/>
          <w:szCs w:val="22"/>
        </w:rPr>
        <w:t xml:space="preserve">” is </w:t>
      </w:r>
      <w:r w:rsidR="00BF2AA1" w:rsidRPr="00B6124D">
        <w:rPr>
          <w:sz w:val="22"/>
          <w:szCs w:val="22"/>
        </w:rPr>
        <w:t>[</w:t>
      </w:r>
      <w:r w:rsidR="00BF2AA1" w:rsidRPr="00205B62">
        <w:rPr>
          <w:sz w:val="22"/>
          <w:szCs w:val="22"/>
          <w:shd w:val="clear" w:color="auto" w:fill="BFBFBF" w:themeFill="background1" w:themeFillShade="BF"/>
        </w:rPr>
        <w:t>insert currency</w:t>
      </w:r>
      <w:r w:rsidR="00BF2AA1" w:rsidRPr="00B6124D">
        <w:rPr>
          <w:sz w:val="22"/>
          <w:szCs w:val="22"/>
        </w:rPr>
        <w:t>]</w:t>
      </w:r>
      <w:r w:rsidR="00BF2AA1" w:rsidRPr="00B6124D" w:rsidDel="00BF2AA1">
        <w:rPr>
          <w:sz w:val="22"/>
          <w:szCs w:val="22"/>
        </w:rPr>
        <w:t xml:space="preserve"> </w:t>
      </w:r>
      <w:r w:rsidRPr="00B6124D">
        <w:rPr>
          <w:sz w:val="22"/>
          <w:szCs w:val="22"/>
        </w:rPr>
        <w:t>[</w:t>
      </w:r>
      <w:r w:rsidRPr="00205B62">
        <w:rPr>
          <w:sz w:val="22"/>
          <w:szCs w:val="22"/>
          <w:shd w:val="clear" w:color="auto" w:fill="BFBFBF" w:themeFill="background1" w:themeFillShade="BF"/>
        </w:rPr>
        <w:t>___________</w:t>
      </w:r>
      <w:r w:rsidRPr="00B6124D">
        <w:rPr>
          <w:sz w:val="22"/>
          <w:szCs w:val="22"/>
        </w:rPr>
        <w:t xml:space="preserve">].  </w:t>
      </w:r>
    </w:p>
    <w:p w14:paraId="6354F1A4" w14:textId="77777777" w:rsidR="00E23215" w:rsidRPr="00B6124D" w:rsidRDefault="00205089" w:rsidP="00441CD8">
      <w:pPr>
        <w:autoSpaceDE w:val="0"/>
        <w:autoSpaceDN w:val="0"/>
        <w:adjustRightInd w:val="0"/>
        <w:spacing w:before="0" w:after="120"/>
        <w:ind w:firstLine="0"/>
        <w:jc w:val="both"/>
        <w:rPr>
          <w:sz w:val="22"/>
          <w:szCs w:val="22"/>
        </w:rPr>
      </w:pPr>
      <w:r w:rsidRPr="00B6124D">
        <w:rPr>
          <w:sz w:val="22"/>
          <w:szCs w:val="22"/>
        </w:rPr>
        <w:t xml:space="preserve">See </w:t>
      </w:r>
      <w:r w:rsidRPr="00B6124D">
        <w:rPr>
          <w:b/>
          <w:sz w:val="22"/>
          <w:szCs w:val="22"/>
        </w:rPr>
        <w:t>Section 2</w:t>
      </w:r>
      <w:r w:rsidRPr="00B6124D">
        <w:rPr>
          <w:sz w:val="22"/>
          <w:szCs w:val="22"/>
        </w:rPr>
        <w:t xml:space="preserve"> for certain additional defined terms.</w:t>
      </w:r>
    </w:p>
    <w:p w14:paraId="4CC70877" w14:textId="77777777" w:rsidR="00543E23" w:rsidRPr="00B6124D" w:rsidRDefault="00543E23" w:rsidP="00205B62">
      <w:pPr>
        <w:autoSpaceDE w:val="0"/>
        <w:autoSpaceDN w:val="0"/>
        <w:adjustRightInd w:val="0"/>
        <w:spacing w:before="0" w:after="120"/>
        <w:ind w:firstLine="0"/>
        <w:jc w:val="both"/>
        <w:rPr>
          <w:b/>
          <w:i/>
          <w:sz w:val="22"/>
          <w:szCs w:val="22"/>
        </w:rPr>
      </w:pPr>
      <w:r w:rsidRPr="00B6124D">
        <w:rPr>
          <w:b/>
          <w:sz w:val="22"/>
          <w:szCs w:val="22"/>
        </w:rPr>
        <w:t>1.</w:t>
      </w:r>
      <w:r w:rsidR="008A3FA1" w:rsidRPr="00B6124D">
        <w:rPr>
          <w:b/>
          <w:sz w:val="22"/>
          <w:szCs w:val="22"/>
        </w:rPr>
        <w:tab/>
      </w:r>
      <w:r w:rsidR="002C16BC" w:rsidRPr="00B6124D">
        <w:rPr>
          <w:b/>
          <w:i/>
          <w:sz w:val="22"/>
          <w:szCs w:val="22"/>
        </w:rPr>
        <w:t>Events</w:t>
      </w:r>
    </w:p>
    <w:p w14:paraId="36592852" w14:textId="76D88DCA" w:rsidR="003C0398" w:rsidRPr="00B6124D" w:rsidRDefault="008A3FA1" w:rsidP="00205B62">
      <w:pPr>
        <w:widowControl w:val="0"/>
        <w:autoSpaceDE w:val="0"/>
        <w:autoSpaceDN w:val="0"/>
        <w:adjustRightInd w:val="0"/>
        <w:spacing w:before="0" w:after="120"/>
        <w:ind w:firstLine="0"/>
        <w:jc w:val="both"/>
        <w:rPr>
          <w:sz w:val="22"/>
          <w:szCs w:val="22"/>
        </w:rPr>
      </w:pPr>
      <w:r w:rsidRPr="00B6124D">
        <w:rPr>
          <w:sz w:val="22"/>
          <w:szCs w:val="22"/>
        </w:rPr>
        <w:tab/>
      </w:r>
      <w:r w:rsidR="00543E23" w:rsidRPr="00B6124D">
        <w:rPr>
          <w:sz w:val="22"/>
          <w:szCs w:val="22"/>
        </w:rPr>
        <w:t>(a)</w:t>
      </w:r>
      <w:r w:rsidR="00543E23" w:rsidRPr="00B6124D">
        <w:rPr>
          <w:sz w:val="22"/>
          <w:szCs w:val="22"/>
        </w:rPr>
        <w:tab/>
      </w:r>
      <w:r w:rsidR="007010C4" w:rsidRPr="00B6124D">
        <w:rPr>
          <w:b/>
          <w:sz w:val="22"/>
          <w:szCs w:val="22"/>
          <w:u w:val="single"/>
        </w:rPr>
        <w:t>Equity Financing</w:t>
      </w:r>
      <w:r w:rsidR="007010C4" w:rsidRPr="00B6124D">
        <w:rPr>
          <w:sz w:val="22"/>
          <w:szCs w:val="22"/>
        </w:rPr>
        <w:t xml:space="preserve">. If </w:t>
      </w:r>
      <w:r w:rsidR="00D65E6B" w:rsidRPr="00B6124D">
        <w:rPr>
          <w:sz w:val="22"/>
          <w:szCs w:val="22"/>
        </w:rPr>
        <w:t xml:space="preserve">there is </w:t>
      </w:r>
      <w:r w:rsidR="006205EC" w:rsidRPr="00B6124D">
        <w:rPr>
          <w:sz w:val="22"/>
          <w:szCs w:val="22"/>
        </w:rPr>
        <w:t xml:space="preserve">an </w:t>
      </w:r>
      <w:r w:rsidR="007010C4" w:rsidRPr="00B6124D">
        <w:rPr>
          <w:sz w:val="22"/>
          <w:szCs w:val="22"/>
        </w:rPr>
        <w:t xml:space="preserve">Equity Financing </w:t>
      </w:r>
      <w:r w:rsidR="00D65E6B" w:rsidRPr="00B6124D">
        <w:rPr>
          <w:sz w:val="22"/>
          <w:szCs w:val="22"/>
        </w:rPr>
        <w:t xml:space="preserve">before </w:t>
      </w:r>
      <w:r w:rsidR="007B1802" w:rsidRPr="00B6124D">
        <w:rPr>
          <w:sz w:val="22"/>
          <w:szCs w:val="22"/>
        </w:rPr>
        <w:t xml:space="preserve">the termination of this </w:t>
      </w:r>
      <w:r w:rsidR="000E161F" w:rsidRPr="00B6124D">
        <w:rPr>
          <w:sz w:val="22"/>
          <w:szCs w:val="22"/>
        </w:rPr>
        <w:t>Safe, on</w:t>
      </w:r>
      <w:r w:rsidR="00CB68C4" w:rsidRPr="00B6124D">
        <w:rPr>
          <w:sz w:val="22"/>
          <w:szCs w:val="22"/>
        </w:rPr>
        <w:t xml:space="preserve"> the initial closing of such Equity Financing, this Safe </w:t>
      </w:r>
      <w:r w:rsidR="00B6124D" w:rsidRPr="00B6124D">
        <w:rPr>
          <w:sz w:val="22"/>
          <w:szCs w:val="22"/>
        </w:rPr>
        <w:t>will be</w:t>
      </w:r>
      <w:r w:rsidR="00BF2AA1" w:rsidRPr="00B6124D">
        <w:rPr>
          <w:sz w:val="22"/>
          <w:szCs w:val="22"/>
        </w:rPr>
        <w:t xml:space="preserve"> converted </w:t>
      </w:r>
      <w:r w:rsidR="00CB68C4" w:rsidRPr="00B6124D">
        <w:rPr>
          <w:sz w:val="22"/>
          <w:szCs w:val="22"/>
        </w:rPr>
        <w:t>into</w:t>
      </w:r>
      <w:r w:rsidR="000E161F" w:rsidRPr="00B6124D">
        <w:rPr>
          <w:sz w:val="22"/>
          <w:szCs w:val="22"/>
        </w:rPr>
        <w:t xml:space="preserve"> the </w:t>
      </w:r>
      <w:r>
        <w:rPr>
          <w:sz w:val="22"/>
          <w:szCs w:val="22"/>
        </w:rPr>
        <w:t xml:space="preserve">greater of: (1) the number of shares of Standard Preferred Stock equal to the Purchase Amount divided by the lowest price per share of the Standard Preferred Stock; or (2) the </w:t>
      </w:r>
      <w:r w:rsidR="006549E5" w:rsidRPr="00B6124D">
        <w:rPr>
          <w:sz w:val="22"/>
          <w:szCs w:val="22"/>
        </w:rPr>
        <w:t>number of shares of Safe</w:t>
      </w:r>
      <w:r w:rsidR="00181C15" w:rsidRPr="00B6124D">
        <w:rPr>
          <w:sz w:val="22"/>
          <w:szCs w:val="22"/>
        </w:rPr>
        <w:t xml:space="preserve"> Preferred S</w:t>
      </w:r>
      <w:r w:rsidR="004A008C" w:rsidRPr="00B6124D">
        <w:rPr>
          <w:sz w:val="22"/>
          <w:szCs w:val="22"/>
        </w:rPr>
        <w:t>tock equal to the Purchase Amount</w:t>
      </w:r>
      <w:r w:rsidR="00181C15" w:rsidRPr="00B6124D">
        <w:rPr>
          <w:sz w:val="22"/>
          <w:szCs w:val="22"/>
        </w:rPr>
        <w:t xml:space="preserve"> divided by </w:t>
      </w:r>
      <w:r>
        <w:rPr>
          <w:sz w:val="22"/>
          <w:szCs w:val="22"/>
        </w:rPr>
        <w:t>the Safe Price.</w:t>
      </w:r>
      <w:r w:rsidR="00604525" w:rsidRPr="00B6124D">
        <w:rPr>
          <w:sz w:val="22"/>
          <w:szCs w:val="22"/>
        </w:rPr>
        <w:t xml:space="preserve"> </w:t>
      </w:r>
      <w:r w:rsidR="00944645" w:rsidRPr="00B6124D">
        <w:rPr>
          <w:sz w:val="22"/>
          <w:szCs w:val="22"/>
        </w:rPr>
        <w:t>To facilitate such conversion under Estonian law i</w:t>
      </w:r>
      <w:r w:rsidR="00762D75" w:rsidRPr="00B6124D">
        <w:rPr>
          <w:sz w:val="22"/>
          <w:szCs w:val="22"/>
        </w:rPr>
        <w:t>t is hereby agreed that</w:t>
      </w:r>
      <w:r w:rsidR="00F93530" w:rsidRPr="00B6124D">
        <w:rPr>
          <w:sz w:val="22"/>
          <w:szCs w:val="22"/>
        </w:rPr>
        <w:t>,</w:t>
      </w:r>
      <w:r w:rsidR="00762D75" w:rsidRPr="00B6124D">
        <w:rPr>
          <w:sz w:val="22"/>
          <w:szCs w:val="22"/>
        </w:rPr>
        <w:t xml:space="preserve"> </w:t>
      </w:r>
      <w:r w:rsidR="00A9377C" w:rsidRPr="00B6124D">
        <w:rPr>
          <w:sz w:val="22"/>
          <w:szCs w:val="22"/>
        </w:rPr>
        <w:t xml:space="preserve">as of the adoption of the Company’s corporate resolution to issue </w:t>
      </w:r>
      <w:r w:rsidR="00BD51E4" w:rsidRPr="00B6124D">
        <w:rPr>
          <w:sz w:val="22"/>
          <w:szCs w:val="22"/>
        </w:rPr>
        <w:t xml:space="preserve">the aforementioned </w:t>
      </w:r>
      <w:r>
        <w:rPr>
          <w:sz w:val="22"/>
          <w:szCs w:val="22"/>
        </w:rPr>
        <w:t xml:space="preserve">shares of Standard Preferred Stock or Safe Preferred Stock, as applicable, </w:t>
      </w:r>
      <w:r w:rsidR="00F93530" w:rsidRPr="00B6124D">
        <w:rPr>
          <w:sz w:val="22"/>
          <w:szCs w:val="22"/>
        </w:rPr>
        <w:t xml:space="preserve">to the Investor </w:t>
      </w:r>
      <w:r w:rsidR="006A52B3" w:rsidRPr="00B6124D">
        <w:rPr>
          <w:sz w:val="22"/>
          <w:szCs w:val="22"/>
        </w:rPr>
        <w:t xml:space="preserve">(i) </w:t>
      </w:r>
      <w:r w:rsidR="00F93530" w:rsidRPr="00B6124D">
        <w:rPr>
          <w:sz w:val="22"/>
          <w:szCs w:val="22"/>
        </w:rPr>
        <w:t xml:space="preserve">the Investor is deemed to have </w:t>
      </w:r>
      <w:r w:rsidR="00A9377C" w:rsidRPr="00B6124D">
        <w:rPr>
          <w:sz w:val="22"/>
          <w:szCs w:val="22"/>
        </w:rPr>
        <w:t xml:space="preserve">subscribed for such shares </w:t>
      </w:r>
      <w:r w:rsidR="006A52B3" w:rsidRPr="00B6124D">
        <w:rPr>
          <w:sz w:val="22"/>
          <w:szCs w:val="22"/>
        </w:rPr>
        <w:t xml:space="preserve">at the aggregate subscription price equal to the Purchase Amount </w:t>
      </w:r>
      <w:r w:rsidR="008A4BE4" w:rsidRPr="00B6124D">
        <w:rPr>
          <w:sz w:val="22"/>
          <w:szCs w:val="22"/>
        </w:rPr>
        <w:t xml:space="preserve">and </w:t>
      </w:r>
      <w:r w:rsidR="006A52B3" w:rsidRPr="00B6124D">
        <w:rPr>
          <w:sz w:val="22"/>
          <w:szCs w:val="22"/>
        </w:rPr>
        <w:t xml:space="preserve">(ii) the Investor is deemed to have a claim against the </w:t>
      </w:r>
      <w:r w:rsidR="008A4BE4" w:rsidRPr="00B6124D">
        <w:rPr>
          <w:sz w:val="22"/>
          <w:szCs w:val="22"/>
        </w:rPr>
        <w:t>Company in the amount equal to the Purchase Amount and (iii)</w:t>
      </w:r>
      <w:r w:rsidR="00867F11" w:rsidRPr="00B6124D">
        <w:rPr>
          <w:sz w:val="22"/>
          <w:szCs w:val="22"/>
        </w:rPr>
        <w:t xml:space="preserve"> the Investor is deemed to have transferred the aforementioned claim to the Company as inkind contribution </w:t>
      </w:r>
      <w:r w:rsidR="003C339B" w:rsidRPr="00B6124D">
        <w:rPr>
          <w:sz w:val="22"/>
          <w:szCs w:val="22"/>
        </w:rPr>
        <w:t xml:space="preserve">to satisfy the Company’s claim for </w:t>
      </w:r>
      <w:r w:rsidR="00867F11" w:rsidRPr="00B6124D">
        <w:rPr>
          <w:sz w:val="22"/>
          <w:szCs w:val="22"/>
        </w:rPr>
        <w:t xml:space="preserve">the subscription price </w:t>
      </w:r>
      <w:r w:rsidR="003C339B" w:rsidRPr="00B6124D">
        <w:rPr>
          <w:sz w:val="22"/>
          <w:szCs w:val="22"/>
        </w:rPr>
        <w:t>of such shares</w:t>
      </w:r>
      <w:r w:rsidR="007F06E2" w:rsidRPr="00B6124D">
        <w:rPr>
          <w:sz w:val="22"/>
          <w:szCs w:val="22"/>
        </w:rPr>
        <w:t xml:space="preserve">. </w:t>
      </w:r>
      <w:r w:rsidR="00944645" w:rsidRPr="00B6124D">
        <w:rPr>
          <w:sz w:val="22"/>
          <w:szCs w:val="22"/>
        </w:rPr>
        <w:t>At the Company’s request t</w:t>
      </w:r>
      <w:r w:rsidR="007F06E2" w:rsidRPr="00B6124D">
        <w:rPr>
          <w:sz w:val="22"/>
          <w:szCs w:val="22"/>
        </w:rPr>
        <w:t>he Investor will execute and deliver to the Company all documents necessary to complete and/or evidence such transfer of inkind contribution</w:t>
      </w:r>
      <w:r w:rsidR="00944645" w:rsidRPr="00B6124D">
        <w:rPr>
          <w:sz w:val="22"/>
          <w:szCs w:val="22"/>
        </w:rPr>
        <w:t>.</w:t>
      </w:r>
      <w:r w:rsidR="003C339B" w:rsidRPr="00B6124D">
        <w:rPr>
          <w:sz w:val="22"/>
          <w:szCs w:val="22"/>
        </w:rPr>
        <w:t xml:space="preserve"> </w:t>
      </w:r>
      <w:r w:rsidR="00B919BD" w:rsidRPr="00B6124D">
        <w:rPr>
          <w:sz w:val="22"/>
          <w:szCs w:val="22"/>
        </w:rPr>
        <w:t xml:space="preserve">The Investor’s aforementioned claim against the Company will </w:t>
      </w:r>
      <w:r w:rsidR="001E1542" w:rsidRPr="00B6124D">
        <w:rPr>
          <w:sz w:val="22"/>
          <w:szCs w:val="22"/>
        </w:rPr>
        <w:t xml:space="preserve">not </w:t>
      </w:r>
      <w:r w:rsidR="00B919BD" w:rsidRPr="00B6124D">
        <w:rPr>
          <w:sz w:val="22"/>
          <w:szCs w:val="22"/>
        </w:rPr>
        <w:t xml:space="preserve">become due and payable </w:t>
      </w:r>
      <w:r w:rsidR="001E1542" w:rsidRPr="00B6124D">
        <w:rPr>
          <w:sz w:val="22"/>
          <w:szCs w:val="22"/>
        </w:rPr>
        <w:t xml:space="preserve">before </w:t>
      </w:r>
      <w:r w:rsidR="00B919BD" w:rsidRPr="00B6124D">
        <w:rPr>
          <w:sz w:val="22"/>
          <w:szCs w:val="22"/>
        </w:rPr>
        <w:t>it is transferred to the Company</w:t>
      </w:r>
      <w:r w:rsidR="001E1542" w:rsidRPr="00B6124D">
        <w:rPr>
          <w:sz w:val="22"/>
          <w:szCs w:val="22"/>
        </w:rPr>
        <w:t xml:space="preserve"> in accordance with above</w:t>
      </w:r>
      <w:r w:rsidR="00B919BD" w:rsidRPr="00B6124D">
        <w:rPr>
          <w:sz w:val="22"/>
          <w:szCs w:val="22"/>
        </w:rPr>
        <w:t xml:space="preserve">. </w:t>
      </w:r>
    </w:p>
    <w:p w14:paraId="156CAAA8" w14:textId="77777777" w:rsidR="00B65A2A" w:rsidRPr="00B6124D" w:rsidRDefault="007C4A8E" w:rsidP="00205B62">
      <w:pPr>
        <w:widowControl w:val="0"/>
        <w:autoSpaceDE w:val="0"/>
        <w:autoSpaceDN w:val="0"/>
        <w:adjustRightInd w:val="0"/>
        <w:spacing w:before="0" w:after="120"/>
        <w:ind w:firstLine="0"/>
        <w:jc w:val="both"/>
        <w:rPr>
          <w:sz w:val="22"/>
          <w:szCs w:val="22"/>
        </w:rPr>
      </w:pPr>
      <w:r w:rsidRPr="00B6124D">
        <w:rPr>
          <w:sz w:val="22"/>
          <w:szCs w:val="22"/>
        </w:rPr>
        <w:tab/>
      </w:r>
      <w:r w:rsidR="006A1D97" w:rsidRPr="00B6124D">
        <w:rPr>
          <w:sz w:val="22"/>
          <w:szCs w:val="22"/>
        </w:rPr>
        <w:t>In conne</w:t>
      </w:r>
      <w:r w:rsidR="005D45E4" w:rsidRPr="00B6124D">
        <w:rPr>
          <w:sz w:val="22"/>
          <w:szCs w:val="22"/>
        </w:rPr>
        <w:t>ction with</w:t>
      </w:r>
      <w:r w:rsidR="0054090C" w:rsidRPr="00B6124D">
        <w:rPr>
          <w:sz w:val="22"/>
          <w:szCs w:val="22"/>
        </w:rPr>
        <w:t xml:space="preserve"> the </w:t>
      </w:r>
      <w:r>
        <w:rPr>
          <w:sz w:val="22"/>
          <w:szCs w:val="22"/>
        </w:rPr>
        <w:t xml:space="preserve">conversion of this Safe into shares of Standard Preferred Stock or Safe Preferred Stock, </w:t>
      </w:r>
      <w:r w:rsidR="002837EA" w:rsidRPr="00B6124D">
        <w:rPr>
          <w:sz w:val="22"/>
          <w:szCs w:val="22"/>
        </w:rPr>
        <w:t>the Investor</w:t>
      </w:r>
      <w:r w:rsidR="005D45E4" w:rsidRPr="00B6124D">
        <w:rPr>
          <w:sz w:val="22"/>
          <w:szCs w:val="22"/>
        </w:rPr>
        <w:t xml:space="preserve"> </w:t>
      </w:r>
      <w:r w:rsidR="005B4022" w:rsidRPr="00B6124D">
        <w:rPr>
          <w:sz w:val="22"/>
          <w:szCs w:val="22"/>
        </w:rPr>
        <w:t xml:space="preserve">will execute and deliver to the Company all </w:t>
      </w:r>
      <w:r w:rsidR="0005422D" w:rsidRPr="00B6124D">
        <w:rPr>
          <w:sz w:val="22"/>
          <w:szCs w:val="22"/>
        </w:rPr>
        <w:t xml:space="preserve">of the </w:t>
      </w:r>
      <w:r w:rsidR="005B4022" w:rsidRPr="00B6124D">
        <w:rPr>
          <w:sz w:val="22"/>
          <w:szCs w:val="22"/>
        </w:rPr>
        <w:t xml:space="preserve">transaction documents related to the Equity Financing; </w:t>
      </w:r>
      <w:r w:rsidR="005B4022" w:rsidRPr="00B6124D">
        <w:rPr>
          <w:i/>
          <w:sz w:val="22"/>
          <w:szCs w:val="22"/>
        </w:rPr>
        <w:t xml:space="preserve">provided, </w:t>
      </w:r>
      <w:r w:rsidR="00204DB9" w:rsidRPr="00B6124D">
        <w:rPr>
          <w:sz w:val="22"/>
          <w:szCs w:val="22"/>
        </w:rPr>
        <w:t xml:space="preserve">that such </w:t>
      </w:r>
      <w:r w:rsidR="005B4022" w:rsidRPr="00B6124D">
        <w:rPr>
          <w:sz w:val="22"/>
          <w:szCs w:val="22"/>
        </w:rPr>
        <w:t xml:space="preserve">documents </w:t>
      </w:r>
      <w:r w:rsidR="00141AEC" w:rsidRPr="00B6124D">
        <w:rPr>
          <w:sz w:val="22"/>
          <w:szCs w:val="22"/>
        </w:rPr>
        <w:t xml:space="preserve">(i) </w:t>
      </w:r>
      <w:r w:rsidR="005B4022" w:rsidRPr="00B6124D">
        <w:rPr>
          <w:sz w:val="22"/>
          <w:szCs w:val="22"/>
        </w:rPr>
        <w:t>are the same documents to be entered into with the purchasers</w:t>
      </w:r>
      <w:r w:rsidR="00DC51CB" w:rsidRPr="00B6124D">
        <w:rPr>
          <w:sz w:val="22"/>
          <w:szCs w:val="22"/>
        </w:rPr>
        <w:t xml:space="preserve"> or subscribers</w:t>
      </w:r>
      <w:r w:rsidR="005B4022" w:rsidRPr="00B6124D">
        <w:rPr>
          <w:sz w:val="22"/>
          <w:szCs w:val="22"/>
        </w:rPr>
        <w:t xml:space="preserve"> of Standard Preferred Stock, with appropriate variations for the Safe Preferred Stock if applicable, and </w:t>
      </w:r>
      <w:r w:rsidR="00141AEC" w:rsidRPr="00B6124D">
        <w:rPr>
          <w:sz w:val="22"/>
          <w:szCs w:val="22"/>
        </w:rPr>
        <w:t xml:space="preserve">(ii) </w:t>
      </w:r>
      <w:r w:rsidR="005B4022" w:rsidRPr="00B6124D">
        <w:rPr>
          <w:sz w:val="22"/>
          <w:szCs w:val="22"/>
        </w:rPr>
        <w:t>have customary exceptions to any drag-along applicable to the Investor, including</w:t>
      </w:r>
      <w:r w:rsidR="00141AEC" w:rsidRPr="00B6124D">
        <w:rPr>
          <w:sz w:val="22"/>
          <w:szCs w:val="22"/>
        </w:rPr>
        <w:t xml:space="preserve"> (</w:t>
      </w:r>
      <w:r w:rsidR="005B4022" w:rsidRPr="00B6124D">
        <w:rPr>
          <w:sz w:val="22"/>
          <w:szCs w:val="22"/>
        </w:rPr>
        <w:t>without limitation</w:t>
      </w:r>
      <w:r w:rsidR="00141AEC" w:rsidRPr="00B6124D">
        <w:rPr>
          <w:sz w:val="22"/>
          <w:szCs w:val="22"/>
        </w:rPr>
        <w:t>)</w:t>
      </w:r>
      <w:r w:rsidR="005B4022" w:rsidRPr="00B6124D">
        <w:rPr>
          <w:sz w:val="22"/>
          <w:szCs w:val="22"/>
        </w:rPr>
        <w:t xml:space="preserve"> limited representations</w:t>
      </w:r>
      <w:r w:rsidR="00141AEC" w:rsidRPr="00B6124D">
        <w:rPr>
          <w:sz w:val="22"/>
          <w:szCs w:val="22"/>
        </w:rPr>
        <w:t>,</w:t>
      </w:r>
      <w:r w:rsidR="005B4022" w:rsidRPr="00B6124D">
        <w:rPr>
          <w:sz w:val="22"/>
          <w:szCs w:val="22"/>
        </w:rPr>
        <w:t xml:space="preserve"> warranties</w:t>
      </w:r>
      <w:r w:rsidR="00141AEC" w:rsidRPr="00B6124D">
        <w:rPr>
          <w:sz w:val="22"/>
          <w:szCs w:val="22"/>
        </w:rPr>
        <w:t xml:space="preserve">, </w:t>
      </w:r>
      <w:r w:rsidR="005B4022" w:rsidRPr="00B6124D">
        <w:rPr>
          <w:sz w:val="22"/>
          <w:szCs w:val="22"/>
        </w:rPr>
        <w:t xml:space="preserve">liability and indemnification obligations </w:t>
      </w:r>
      <w:r w:rsidR="00141AEC" w:rsidRPr="00B6124D">
        <w:rPr>
          <w:sz w:val="22"/>
          <w:szCs w:val="22"/>
        </w:rPr>
        <w:t xml:space="preserve">for </w:t>
      </w:r>
      <w:r w:rsidR="005B4022" w:rsidRPr="00B6124D">
        <w:rPr>
          <w:sz w:val="22"/>
          <w:szCs w:val="22"/>
        </w:rPr>
        <w:t>the Investor</w:t>
      </w:r>
      <w:r w:rsidR="000E161F" w:rsidRPr="00B6124D">
        <w:rPr>
          <w:sz w:val="22"/>
          <w:szCs w:val="22"/>
        </w:rPr>
        <w:t>.</w:t>
      </w:r>
    </w:p>
    <w:p w14:paraId="04DBB2D8" w14:textId="77777777" w:rsidR="004302D3" w:rsidRPr="00B6124D" w:rsidRDefault="00D84744" w:rsidP="00205B62">
      <w:pPr>
        <w:autoSpaceDE w:val="0"/>
        <w:autoSpaceDN w:val="0"/>
        <w:adjustRightInd w:val="0"/>
        <w:spacing w:before="0" w:after="120"/>
        <w:ind w:firstLine="0"/>
        <w:jc w:val="both"/>
        <w:rPr>
          <w:sz w:val="22"/>
          <w:szCs w:val="22"/>
        </w:rPr>
      </w:pPr>
      <w:r w:rsidRPr="00B6124D">
        <w:rPr>
          <w:sz w:val="22"/>
          <w:szCs w:val="22"/>
        </w:rPr>
        <w:tab/>
      </w:r>
      <w:r w:rsidR="009A426E" w:rsidRPr="00B6124D">
        <w:rPr>
          <w:sz w:val="22"/>
          <w:szCs w:val="22"/>
        </w:rPr>
        <w:t>(b)</w:t>
      </w:r>
      <w:r w:rsidR="009A426E" w:rsidRPr="00B6124D">
        <w:rPr>
          <w:sz w:val="22"/>
          <w:szCs w:val="22"/>
        </w:rPr>
        <w:tab/>
      </w:r>
      <w:r w:rsidR="00132B42" w:rsidRPr="00B6124D">
        <w:rPr>
          <w:b/>
          <w:sz w:val="22"/>
          <w:szCs w:val="22"/>
          <w:u w:val="single"/>
        </w:rPr>
        <w:t>Liquidity Event</w:t>
      </w:r>
      <w:r w:rsidR="004061DC" w:rsidRPr="00B6124D">
        <w:rPr>
          <w:sz w:val="22"/>
          <w:szCs w:val="22"/>
        </w:rPr>
        <w:t xml:space="preserve">.  </w:t>
      </w:r>
      <w:r w:rsidR="004302D3" w:rsidRPr="00B6124D">
        <w:rPr>
          <w:sz w:val="22"/>
          <w:szCs w:val="22"/>
        </w:rPr>
        <w:t xml:space="preserve">If there is a Liquidity Event before the termination of this Safe, </w:t>
      </w:r>
      <w:r w:rsidR="001E4E1F" w:rsidRPr="00B6124D">
        <w:rPr>
          <w:sz w:val="22"/>
          <w:szCs w:val="22"/>
        </w:rPr>
        <w:t xml:space="preserve">the Investor </w:t>
      </w:r>
      <w:r w:rsidR="004302D3" w:rsidRPr="00B6124D">
        <w:rPr>
          <w:sz w:val="22"/>
          <w:szCs w:val="22"/>
        </w:rPr>
        <w:t xml:space="preserve">will automatically </w:t>
      </w:r>
      <w:r w:rsidR="00140E8C" w:rsidRPr="00B6124D">
        <w:rPr>
          <w:sz w:val="22"/>
          <w:szCs w:val="22"/>
        </w:rPr>
        <w:t>be entitled</w:t>
      </w:r>
      <w:r w:rsidR="004302D3" w:rsidRPr="00B6124D">
        <w:rPr>
          <w:sz w:val="22"/>
          <w:szCs w:val="22"/>
        </w:rPr>
        <w:t xml:space="preserve"> </w:t>
      </w:r>
      <w:r w:rsidR="00141AEC" w:rsidRPr="00B6124D">
        <w:rPr>
          <w:sz w:val="22"/>
          <w:szCs w:val="22"/>
        </w:rPr>
        <w:t xml:space="preserve">(subject to the liquidation priority set forth in Section 1(d) below) </w:t>
      </w:r>
      <w:r w:rsidR="004302D3" w:rsidRPr="00B6124D">
        <w:rPr>
          <w:sz w:val="22"/>
          <w:szCs w:val="22"/>
        </w:rPr>
        <w:t xml:space="preserve">to receive a portion of Proceeds, due and payable to the Investor immediately prior to, or concurrent with, the consummation of </w:t>
      </w:r>
      <w:r w:rsidR="00017D71" w:rsidRPr="00B6124D">
        <w:rPr>
          <w:sz w:val="22"/>
          <w:szCs w:val="22"/>
        </w:rPr>
        <w:t>such</w:t>
      </w:r>
      <w:r w:rsidR="004302D3" w:rsidRPr="00B6124D">
        <w:rPr>
          <w:sz w:val="22"/>
          <w:szCs w:val="22"/>
        </w:rPr>
        <w:t xml:space="preserve"> Liquidity Event, equal to the greater of (i) the Purchase Amount (the “</w:t>
      </w:r>
      <w:r w:rsidR="004302D3" w:rsidRPr="00B6124D">
        <w:rPr>
          <w:b/>
          <w:sz w:val="22"/>
          <w:szCs w:val="22"/>
        </w:rPr>
        <w:t>Cash-Out Amount</w:t>
      </w:r>
      <w:r w:rsidR="004302D3" w:rsidRPr="00B6124D">
        <w:rPr>
          <w:sz w:val="22"/>
          <w:szCs w:val="22"/>
        </w:rPr>
        <w:t>”) or (ii) the amount payable on the number of shares of Common Stock equal to the Purchase Amount divided by the Liquidity Price (the “</w:t>
      </w:r>
      <w:r w:rsidR="004302D3" w:rsidRPr="00B6124D">
        <w:rPr>
          <w:b/>
          <w:sz w:val="22"/>
          <w:szCs w:val="22"/>
        </w:rPr>
        <w:t>Conversion Amount</w:t>
      </w:r>
      <w:r w:rsidR="004302D3" w:rsidRPr="00B6124D">
        <w:rPr>
          <w:sz w:val="22"/>
          <w:szCs w:val="22"/>
        </w:rPr>
        <w:t>”).</w:t>
      </w:r>
      <w:r w:rsidR="002F2C24" w:rsidRPr="00B6124D">
        <w:rPr>
          <w:sz w:val="22"/>
          <w:szCs w:val="22"/>
        </w:rPr>
        <w:t xml:space="preserve">  If any of the Company’s securityholders are given a choice as to the form and amount of Proceeds to be received in a Liquidity Event, the Investor will be given the same choice, </w:t>
      </w:r>
      <w:r w:rsidR="002F2C24" w:rsidRPr="00B6124D">
        <w:rPr>
          <w:i/>
          <w:sz w:val="22"/>
          <w:szCs w:val="22"/>
        </w:rPr>
        <w:t>provided</w:t>
      </w:r>
      <w:r w:rsidR="002F2C24" w:rsidRPr="00B6124D">
        <w:rPr>
          <w:sz w:val="22"/>
          <w:szCs w:val="22"/>
        </w:rPr>
        <w:t xml:space="preserve"> that the Investor may not choose to receive a form of consideration that the Investor would be ineligible to receive as a result of the Investor’s failure to satisfy any requirement or limitation generally applicable to the Company’s securityholders, or under any applicable laws.</w:t>
      </w:r>
    </w:p>
    <w:p w14:paraId="7B68CAB4" w14:textId="464A5D37" w:rsidR="004A3DF3" w:rsidRPr="00B6124D" w:rsidRDefault="004302D3" w:rsidP="00205B62">
      <w:pPr>
        <w:widowControl w:val="0"/>
        <w:autoSpaceDE w:val="0"/>
        <w:autoSpaceDN w:val="0"/>
        <w:adjustRightInd w:val="0"/>
        <w:spacing w:before="0" w:after="120"/>
        <w:ind w:firstLine="0"/>
        <w:jc w:val="both"/>
        <w:rPr>
          <w:sz w:val="22"/>
          <w:szCs w:val="22"/>
        </w:rPr>
      </w:pPr>
      <w:r w:rsidRPr="00B6124D">
        <w:rPr>
          <w:sz w:val="22"/>
          <w:szCs w:val="22"/>
        </w:rPr>
        <w:tab/>
      </w:r>
      <w:r w:rsidR="004A3DF3" w:rsidRPr="00B6124D">
        <w:rPr>
          <w:sz w:val="22"/>
          <w:szCs w:val="22"/>
        </w:rPr>
        <w:t>(</w:t>
      </w:r>
      <w:r w:rsidR="00A77B79" w:rsidRPr="00B6124D">
        <w:rPr>
          <w:sz w:val="22"/>
          <w:szCs w:val="22"/>
        </w:rPr>
        <w:t>c</w:t>
      </w:r>
      <w:r w:rsidR="004A3DF3" w:rsidRPr="00B6124D">
        <w:rPr>
          <w:sz w:val="22"/>
          <w:szCs w:val="22"/>
        </w:rPr>
        <w:t>)</w:t>
      </w:r>
      <w:r w:rsidR="004A3DF3" w:rsidRPr="00B6124D">
        <w:rPr>
          <w:sz w:val="22"/>
          <w:szCs w:val="22"/>
        </w:rPr>
        <w:tab/>
      </w:r>
      <w:r w:rsidR="00EE3DFE" w:rsidRPr="00B6124D">
        <w:rPr>
          <w:b/>
          <w:sz w:val="22"/>
          <w:szCs w:val="22"/>
          <w:u w:val="single"/>
        </w:rPr>
        <w:t>Dissolution</w:t>
      </w:r>
      <w:r w:rsidR="004A3DF3" w:rsidRPr="00B6124D">
        <w:rPr>
          <w:b/>
          <w:sz w:val="22"/>
          <w:szCs w:val="22"/>
          <w:u w:val="single"/>
        </w:rPr>
        <w:t xml:space="preserve"> Event</w:t>
      </w:r>
      <w:r w:rsidR="004A3DF3" w:rsidRPr="00B6124D">
        <w:rPr>
          <w:sz w:val="22"/>
          <w:szCs w:val="22"/>
        </w:rPr>
        <w:t xml:space="preserve">. </w:t>
      </w:r>
      <w:r w:rsidR="00DA26D1" w:rsidRPr="00B6124D">
        <w:rPr>
          <w:sz w:val="22"/>
          <w:szCs w:val="22"/>
        </w:rPr>
        <w:t xml:space="preserve"> </w:t>
      </w:r>
      <w:r w:rsidR="000C14B2" w:rsidRPr="00B6124D">
        <w:rPr>
          <w:sz w:val="22"/>
          <w:szCs w:val="22"/>
        </w:rPr>
        <w:t xml:space="preserve">If there is a Dissolution Event before the </w:t>
      </w:r>
      <w:r w:rsidR="00ED78AD" w:rsidRPr="00B6124D">
        <w:rPr>
          <w:sz w:val="22"/>
          <w:szCs w:val="22"/>
        </w:rPr>
        <w:t xml:space="preserve">termination of this Safe, </w:t>
      </w:r>
      <w:r w:rsidR="00703694" w:rsidRPr="00B6124D">
        <w:rPr>
          <w:sz w:val="22"/>
          <w:szCs w:val="22"/>
        </w:rPr>
        <w:t xml:space="preserve">the Investor </w:t>
      </w:r>
      <w:r w:rsidR="000C14B2" w:rsidRPr="00B6124D">
        <w:rPr>
          <w:sz w:val="22"/>
          <w:szCs w:val="22"/>
        </w:rPr>
        <w:t xml:space="preserve">will automatically </w:t>
      </w:r>
      <w:r w:rsidR="00833A7C" w:rsidRPr="00B6124D">
        <w:rPr>
          <w:sz w:val="22"/>
          <w:szCs w:val="22"/>
        </w:rPr>
        <w:t>be entitled</w:t>
      </w:r>
      <w:r w:rsidR="000C14B2" w:rsidRPr="00B6124D">
        <w:rPr>
          <w:sz w:val="22"/>
          <w:szCs w:val="22"/>
        </w:rPr>
        <w:t xml:space="preserve"> </w:t>
      </w:r>
      <w:r w:rsidR="00141AEC" w:rsidRPr="00B6124D">
        <w:rPr>
          <w:sz w:val="22"/>
          <w:szCs w:val="22"/>
        </w:rPr>
        <w:t xml:space="preserve">(subject to the liquidation priority set forth in Section 1(d) below) </w:t>
      </w:r>
      <w:r w:rsidR="000C14B2" w:rsidRPr="00B6124D">
        <w:rPr>
          <w:sz w:val="22"/>
          <w:szCs w:val="22"/>
        </w:rPr>
        <w:t>to receive a portion of Proceeds equal to the Cash-Out Amount, due and payable to the Investor immediately prior to the consummation of the Dissolution Event</w:t>
      </w:r>
      <w:r w:rsidR="004A3DF3" w:rsidRPr="00B6124D">
        <w:rPr>
          <w:sz w:val="22"/>
          <w:szCs w:val="22"/>
        </w:rPr>
        <w:t>.</w:t>
      </w:r>
    </w:p>
    <w:p w14:paraId="7E354B1B" w14:textId="2DE6E6D1" w:rsidR="00DA26D1" w:rsidRPr="00B6124D" w:rsidRDefault="00A82F9D" w:rsidP="00207809">
      <w:pPr>
        <w:autoSpaceDE w:val="0"/>
        <w:autoSpaceDN w:val="0"/>
        <w:adjustRightInd w:val="0"/>
        <w:spacing w:before="0" w:after="120"/>
        <w:jc w:val="both"/>
        <w:rPr>
          <w:sz w:val="22"/>
          <w:szCs w:val="22"/>
        </w:rPr>
      </w:pPr>
      <w:r w:rsidRPr="00B6124D">
        <w:rPr>
          <w:sz w:val="22"/>
          <w:szCs w:val="22"/>
        </w:rPr>
        <w:lastRenderedPageBreak/>
        <w:t>(d)</w:t>
      </w:r>
      <w:r w:rsidR="00DA26D1" w:rsidRPr="00B6124D">
        <w:rPr>
          <w:sz w:val="22"/>
          <w:szCs w:val="22"/>
        </w:rPr>
        <w:t xml:space="preserve"> </w:t>
      </w:r>
      <w:r w:rsidR="00207809">
        <w:rPr>
          <w:sz w:val="22"/>
          <w:szCs w:val="22"/>
        </w:rPr>
        <w:tab/>
      </w:r>
      <w:r w:rsidRPr="00B6124D">
        <w:rPr>
          <w:b/>
          <w:sz w:val="22"/>
          <w:szCs w:val="22"/>
          <w:u w:val="single"/>
        </w:rPr>
        <w:t>Liquidation Priority</w:t>
      </w:r>
      <w:r w:rsidRPr="00B6124D">
        <w:rPr>
          <w:sz w:val="22"/>
          <w:szCs w:val="22"/>
        </w:rPr>
        <w:t xml:space="preserve">. </w:t>
      </w:r>
      <w:r w:rsidR="00DA26D1" w:rsidRPr="00B6124D">
        <w:rPr>
          <w:sz w:val="22"/>
          <w:szCs w:val="22"/>
        </w:rPr>
        <w:t xml:space="preserve"> In </w:t>
      </w:r>
      <w:r w:rsidR="00774FDF" w:rsidRPr="00B6124D">
        <w:rPr>
          <w:sz w:val="22"/>
          <w:szCs w:val="22"/>
        </w:rPr>
        <w:t>a Liquidity Event</w:t>
      </w:r>
      <w:r w:rsidR="00DA26D1" w:rsidRPr="00B6124D">
        <w:rPr>
          <w:sz w:val="22"/>
          <w:szCs w:val="22"/>
        </w:rPr>
        <w:t xml:space="preserve"> or </w:t>
      </w:r>
      <w:r w:rsidR="00774FDF" w:rsidRPr="00B6124D">
        <w:rPr>
          <w:sz w:val="22"/>
          <w:szCs w:val="22"/>
        </w:rPr>
        <w:t>Dissolution Event</w:t>
      </w:r>
      <w:r w:rsidR="00DA26D1" w:rsidRPr="00B6124D">
        <w:rPr>
          <w:sz w:val="22"/>
          <w:szCs w:val="22"/>
        </w:rPr>
        <w:t xml:space="preserve">, this Safe is intended to operate </w:t>
      </w:r>
      <w:r w:rsidR="00774FDF" w:rsidRPr="00B6124D">
        <w:rPr>
          <w:sz w:val="22"/>
          <w:szCs w:val="22"/>
        </w:rPr>
        <w:t xml:space="preserve">like standard </w:t>
      </w:r>
      <w:r w:rsidR="007307DB" w:rsidRPr="00B6124D">
        <w:rPr>
          <w:sz w:val="22"/>
          <w:szCs w:val="22"/>
        </w:rPr>
        <w:t xml:space="preserve">non-participating </w:t>
      </w:r>
      <w:r w:rsidR="00CC3F92" w:rsidRPr="00B6124D">
        <w:rPr>
          <w:sz w:val="22"/>
          <w:szCs w:val="22"/>
        </w:rPr>
        <w:t>Preferred Stock.  T</w:t>
      </w:r>
      <w:r w:rsidR="00DA26D1" w:rsidRPr="00B6124D">
        <w:rPr>
          <w:sz w:val="22"/>
          <w:szCs w:val="22"/>
        </w:rPr>
        <w:t>he Investor’s right to receive its Cash-Out Amount is:</w:t>
      </w:r>
    </w:p>
    <w:p w14:paraId="5D8F446A" w14:textId="77777777" w:rsidR="00DA26D1" w:rsidRPr="00B6124D" w:rsidRDefault="00DA26D1" w:rsidP="00207809">
      <w:pPr>
        <w:autoSpaceDE w:val="0"/>
        <w:autoSpaceDN w:val="0"/>
        <w:adjustRightInd w:val="0"/>
        <w:spacing w:before="0" w:after="120"/>
        <w:ind w:left="1418" w:hanging="709"/>
        <w:jc w:val="both"/>
        <w:rPr>
          <w:sz w:val="22"/>
          <w:szCs w:val="22"/>
        </w:rPr>
      </w:pPr>
      <w:r w:rsidRPr="00B6124D">
        <w:rPr>
          <w:sz w:val="22"/>
          <w:szCs w:val="22"/>
        </w:rPr>
        <w:t>(i)</w:t>
      </w:r>
      <w:r w:rsidRPr="00B6124D">
        <w:rPr>
          <w:sz w:val="22"/>
          <w:szCs w:val="22"/>
        </w:rPr>
        <w:tab/>
        <w:t xml:space="preserve">Junior </w:t>
      </w:r>
      <w:r w:rsidR="002C695C" w:rsidRPr="00B6124D">
        <w:rPr>
          <w:sz w:val="22"/>
          <w:szCs w:val="22"/>
        </w:rPr>
        <w:t xml:space="preserve">to </w:t>
      </w:r>
      <w:r w:rsidR="000B11B2" w:rsidRPr="00B6124D">
        <w:rPr>
          <w:sz w:val="22"/>
          <w:szCs w:val="22"/>
        </w:rPr>
        <w:t>payment of</w:t>
      </w:r>
      <w:r w:rsidRPr="00B6124D">
        <w:rPr>
          <w:sz w:val="22"/>
          <w:szCs w:val="22"/>
        </w:rPr>
        <w:t xml:space="preserve"> outstanding indebtedness and creditor claims, including contractual claims for payment and convertible promissory notes (to the extent such convertible promissory notes are not actually or notionally converted into Capital Stock</w:t>
      </w:r>
      <w:r w:rsidR="00DD102A" w:rsidRPr="00B6124D">
        <w:rPr>
          <w:sz w:val="22"/>
          <w:szCs w:val="22"/>
        </w:rPr>
        <w:t>)</w:t>
      </w:r>
      <w:r w:rsidRPr="00B6124D">
        <w:rPr>
          <w:sz w:val="22"/>
          <w:szCs w:val="22"/>
        </w:rPr>
        <w:t xml:space="preserve">; </w:t>
      </w:r>
    </w:p>
    <w:p w14:paraId="5C408F37" w14:textId="77777777" w:rsidR="00DA26D1" w:rsidRPr="00B6124D" w:rsidRDefault="00DA26D1" w:rsidP="00207809">
      <w:pPr>
        <w:autoSpaceDE w:val="0"/>
        <w:autoSpaceDN w:val="0"/>
        <w:adjustRightInd w:val="0"/>
        <w:spacing w:before="0" w:after="120"/>
        <w:ind w:left="1418" w:hanging="709"/>
        <w:jc w:val="both"/>
        <w:rPr>
          <w:sz w:val="22"/>
          <w:szCs w:val="22"/>
        </w:rPr>
      </w:pPr>
      <w:r w:rsidRPr="00B6124D">
        <w:rPr>
          <w:sz w:val="22"/>
          <w:szCs w:val="22"/>
        </w:rPr>
        <w:t>(ii)</w:t>
      </w:r>
      <w:r w:rsidRPr="00B6124D">
        <w:rPr>
          <w:sz w:val="22"/>
          <w:szCs w:val="22"/>
        </w:rPr>
        <w:tab/>
      </w:r>
      <w:r w:rsidR="008D6644" w:rsidRPr="00B6124D">
        <w:rPr>
          <w:sz w:val="22"/>
          <w:szCs w:val="22"/>
        </w:rPr>
        <w:t>On par</w:t>
      </w:r>
      <w:r w:rsidRPr="00B6124D">
        <w:rPr>
          <w:sz w:val="22"/>
          <w:szCs w:val="22"/>
        </w:rPr>
        <w:t xml:space="preserve"> with </w:t>
      </w:r>
      <w:r w:rsidR="004A77F6" w:rsidRPr="00B6124D">
        <w:rPr>
          <w:sz w:val="22"/>
          <w:szCs w:val="22"/>
        </w:rPr>
        <w:t xml:space="preserve">payments for </w:t>
      </w:r>
      <w:r w:rsidRPr="00B6124D">
        <w:rPr>
          <w:sz w:val="22"/>
          <w:szCs w:val="22"/>
        </w:rPr>
        <w:t xml:space="preserve">other Safes and/or Preferred Stock, and if the applicable Proceeds are insufficient to permit </w:t>
      </w:r>
      <w:r w:rsidR="00950DE5" w:rsidRPr="00B6124D">
        <w:rPr>
          <w:sz w:val="22"/>
          <w:szCs w:val="22"/>
        </w:rPr>
        <w:t xml:space="preserve">full </w:t>
      </w:r>
      <w:r w:rsidRPr="00B6124D">
        <w:rPr>
          <w:sz w:val="22"/>
          <w:szCs w:val="22"/>
        </w:rPr>
        <w:t xml:space="preserve">payments to the Investor and such </w:t>
      </w:r>
      <w:r w:rsidR="00950DE5" w:rsidRPr="00B6124D">
        <w:rPr>
          <w:sz w:val="22"/>
          <w:szCs w:val="22"/>
        </w:rPr>
        <w:t>other Safes and/or Preferred Stock</w:t>
      </w:r>
      <w:r w:rsidRPr="00B6124D">
        <w:rPr>
          <w:sz w:val="22"/>
          <w:szCs w:val="22"/>
        </w:rPr>
        <w:t xml:space="preserve">, the applicable Proceeds </w:t>
      </w:r>
      <w:r w:rsidR="0011768E" w:rsidRPr="00B6124D">
        <w:rPr>
          <w:sz w:val="22"/>
          <w:szCs w:val="22"/>
        </w:rPr>
        <w:t>will</w:t>
      </w:r>
      <w:r w:rsidRPr="00B6124D">
        <w:rPr>
          <w:sz w:val="22"/>
          <w:szCs w:val="22"/>
        </w:rPr>
        <w:t xml:space="preserve"> be distributed pro rata to the Investor and such </w:t>
      </w:r>
      <w:r w:rsidR="006E37B8" w:rsidRPr="00B6124D">
        <w:rPr>
          <w:sz w:val="22"/>
          <w:szCs w:val="22"/>
        </w:rPr>
        <w:t>other Safes and/or Preferred Stock</w:t>
      </w:r>
      <w:r w:rsidRPr="00B6124D">
        <w:rPr>
          <w:sz w:val="22"/>
          <w:szCs w:val="22"/>
        </w:rPr>
        <w:t xml:space="preserve"> in proportion to the full payments that would otherwise be due; and </w:t>
      </w:r>
    </w:p>
    <w:p w14:paraId="33C322B9" w14:textId="0E319F9E" w:rsidR="00A82F9D" w:rsidRPr="00B6124D" w:rsidRDefault="00DA26D1" w:rsidP="00207809">
      <w:pPr>
        <w:autoSpaceDE w:val="0"/>
        <w:autoSpaceDN w:val="0"/>
        <w:adjustRightInd w:val="0"/>
        <w:spacing w:before="0" w:after="120"/>
        <w:ind w:left="1418" w:hanging="709"/>
        <w:jc w:val="both"/>
        <w:rPr>
          <w:sz w:val="22"/>
          <w:szCs w:val="22"/>
        </w:rPr>
      </w:pPr>
      <w:r w:rsidRPr="00B6124D">
        <w:rPr>
          <w:sz w:val="22"/>
          <w:szCs w:val="22"/>
        </w:rPr>
        <w:t>(iii)</w:t>
      </w:r>
      <w:r w:rsidRPr="00B6124D">
        <w:rPr>
          <w:sz w:val="22"/>
          <w:szCs w:val="22"/>
        </w:rPr>
        <w:tab/>
        <w:t xml:space="preserve">Senior to payments </w:t>
      </w:r>
      <w:r w:rsidR="00FC08E7" w:rsidRPr="00B6124D">
        <w:rPr>
          <w:sz w:val="22"/>
          <w:szCs w:val="22"/>
        </w:rPr>
        <w:t>for</w:t>
      </w:r>
      <w:r w:rsidR="00565646" w:rsidRPr="00B6124D">
        <w:rPr>
          <w:sz w:val="22"/>
          <w:szCs w:val="22"/>
        </w:rPr>
        <w:t xml:space="preserve"> Common Stock</w:t>
      </w:r>
      <w:r w:rsidR="00A82F9D" w:rsidRPr="00B6124D">
        <w:rPr>
          <w:sz w:val="22"/>
          <w:szCs w:val="22"/>
        </w:rPr>
        <w:t>.</w:t>
      </w:r>
    </w:p>
    <w:p w14:paraId="6017E2B4" w14:textId="77777777" w:rsidR="00094F9B" w:rsidRPr="00B6124D" w:rsidRDefault="00094F9B" w:rsidP="00205B62">
      <w:pPr>
        <w:autoSpaceDE w:val="0"/>
        <w:autoSpaceDN w:val="0"/>
        <w:adjustRightInd w:val="0"/>
        <w:spacing w:before="0" w:after="120"/>
        <w:ind w:firstLine="0"/>
        <w:jc w:val="both"/>
        <w:rPr>
          <w:sz w:val="22"/>
          <w:szCs w:val="22"/>
        </w:rPr>
      </w:pPr>
      <w:r w:rsidRPr="00B6124D">
        <w:rPr>
          <w:sz w:val="22"/>
          <w:szCs w:val="22"/>
        </w:rPr>
        <w:t>The Investor’s right to receive its Conversion Amount is (A) on par with payments for Common Stock and other Safes and/or Preferred Stock who are also receiving Conversion Amounts or Proceeds on a similar as-converted to Common Stock basis, and (B) junior to payments described in clauses (i) and (ii) above (in the latter case, to the extent such payments are Cash-Out Amounts or similar liquidation preferences).</w:t>
      </w:r>
    </w:p>
    <w:p w14:paraId="0F6108E2" w14:textId="77777777" w:rsidR="00515627" w:rsidRPr="00B6124D" w:rsidRDefault="00515627" w:rsidP="00205B62">
      <w:pPr>
        <w:autoSpaceDE w:val="0"/>
        <w:autoSpaceDN w:val="0"/>
        <w:adjustRightInd w:val="0"/>
        <w:spacing w:before="0" w:after="120"/>
        <w:ind w:firstLine="0"/>
        <w:jc w:val="both"/>
        <w:rPr>
          <w:sz w:val="22"/>
          <w:szCs w:val="22"/>
        </w:rPr>
      </w:pPr>
      <w:r w:rsidRPr="00B6124D">
        <w:rPr>
          <w:sz w:val="22"/>
          <w:szCs w:val="22"/>
        </w:rPr>
        <w:tab/>
        <w:t>(</w:t>
      </w:r>
      <w:r w:rsidR="00A82F9D" w:rsidRPr="00B6124D">
        <w:rPr>
          <w:sz w:val="22"/>
          <w:szCs w:val="22"/>
        </w:rPr>
        <w:t>e</w:t>
      </w:r>
      <w:r w:rsidRPr="00B6124D">
        <w:rPr>
          <w:sz w:val="22"/>
          <w:szCs w:val="22"/>
        </w:rPr>
        <w:t>)</w:t>
      </w:r>
      <w:r w:rsidRPr="00B6124D">
        <w:rPr>
          <w:sz w:val="22"/>
          <w:szCs w:val="22"/>
        </w:rPr>
        <w:tab/>
      </w:r>
      <w:r w:rsidRPr="00B6124D">
        <w:rPr>
          <w:b/>
          <w:sz w:val="22"/>
          <w:szCs w:val="22"/>
          <w:u w:val="single"/>
        </w:rPr>
        <w:t>Termination</w:t>
      </w:r>
      <w:r w:rsidRPr="00B6124D">
        <w:rPr>
          <w:sz w:val="22"/>
          <w:szCs w:val="22"/>
        </w:rPr>
        <w:t xml:space="preserve">.  This </w:t>
      </w:r>
      <w:r w:rsidR="003B1A1D" w:rsidRPr="00B6124D">
        <w:rPr>
          <w:sz w:val="22"/>
          <w:szCs w:val="22"/>
        </w:rPr>
        <w:t>Safe</w:t>
      </w:r>
      <w:r w:rsidRPr="00B6124D">
        <w:rPr>
          <w:sz w:val="22"/>
          <w:szCs w:val="22"/>
        </w:rPr>
        <w:t xml:space="preserve"> will </w:t>
      </w:r>
      <w:r w:rsidR="003B1A1D" w:rsidRPr="00B6124D">
        <w:rPr>
          <w:sz w:val="22"/>
          <w:szCs w:val="22"/>
        </w:rPr>
        <w:t xml:space="preserve">automatically </w:t>
      </w:r>
      <w:r w:rsidRPr="00B6124D">
        <w:rPr>
          <w:sz w:val="22"/>
          <w:szCs w:val="22"/>
        </w:rPr>
        <w:t xml:space="preserve">terminate (without relieving the Company of any obligations arising from a prior breach of or non-compliance with this </w:t>
      </w:r>
      <w:r w:rsidR="003B1A1D" w:rsidRPr="00B6124D">
        <w:rPr>
          <w:sz w:val="22"/>
          <w:szCs w:val="22"/>
        </w:rPr>
        <w:t>Safe</w:t>
      </w:r>
      <w:r w:rsidRPr="00B6124D">
        <w:rPr>
          <w:sz w:val="22"/>
          <w:szCs w:val="22"/>
        </w:rPr>
        <w:t xml:space="preserve">) </w:t>
      </w:r>
      <w:r w:rsidR="003B1A1D" w:rsidRPr="00B6124D">
        <w:rPr>
          <w:sz w:val="22"/>
          <w:szCs w:val="22"/>
        </w:rPr>
        <w:t>immediately following the earliest to occur of:</w:t>
      </w:r>
      <w:r w:rsidRPr="00B6124D">
        <w:rPr>
          <w:sz w:val="22"/>
          <w:szCs w:val="22"/>
        </w:rPr>
        <w:t xml:space="preserve"> (i) the issuance of </w:t>
      </w:r>
      <w:r w:rsidR="003B1A1D" w:rsidRPr="00B6124D">
        <w:rPr>
          <w:sz w:val="22"/>
          <w:szCs w:val="22"/>
        </w:rPr>
        <w:t>Capital Stock</w:t>
      </w:r>
      <w:r w:rsidRPr="00B6124D">
        <w:rPr>
          <w:sz w:val="22"/>
          <w:szCs w:val="22"/>
        </w:rPr>
        <w:t xml:space="preserve"> to the Investor pursuant to </w:t>
      </w:r>
      <w:r w:rsidR="003B1A1D" w:rsidRPr="00B6124D">
        <w:rPr>
          <w:sz w:val="22"/>
          <w:szCs w:val="22"/>
        </w:rPr>
        <w:t xml:space="preserve">the conversion of this Safe under </w:t>
      </w:r>
      <w:r w:rsidRPr="00B6124D">
        <w:rPr>
          <w:sz w:val="22"/>
          <w:szCs w:val="22"/>
        </w:rPr>
        <w:t>Section 1(a); or (ii) the payment, or setting aside for payment, of amounts due the Investor pursuant to</w:t>
      </w:r>
      <w:r w:rsidR="003B1A1D" w:rsidRPr="00B6124D">
        <w:rPr>
          <w:sz w:val="22"/>
          <w:szCs w:val="22"/>
        </w:rPr>
        <w:t xml:space="preserve"> </w:t>
      </w:r>
      <w:r w:rsidRPr="00B6124D">
        <w:rPr>
          <w:sz w:val="22"/>
          <w:szCs w:val="22"/>
        </w:rPr>
        <w:t>Section 1(b) or Section 1(c).</w:t>
      </w:r>
      <w:r w:rsidR="00C57775" w:rsidRPr="00B6124D">
        <w:rPr>
          <w:sz w:val="22"/>
          <w:szCs w:val="22"/>
        </w:rPr>
        <w:t xml:space="preserve"> The Investor does not have the right to demand the </w:t>
      </w:r>
      <w:r w:rsidR="00427038" w:rsidRPr="00B6124D">
        <w:rPr>
          <w:sz w:val="22"/>
          <w:szCs w:val="22"/>
        </w:rPr>
        <w:t>re</w:t>
      </w:r>
      <w:r w:rsidR="00C57775" w:rsidRPr="00B6124D">
        <w:rPr>
          <w:sz w:val="22"/>
          <w:szCs w:val="22"/>
        </w:rPr>
        <w:t>payment of the Purchase Amount other</w:t>
      </w:r>
      <w:r w:rsidR="00427038" w:rsidRPr="00B6124D">
        <w:rPr>
          <w:sz w:val="22"/>
          <w:szCs w:val="22"/>
        </w:rPr>
        <w:t>wise</w:t>
      </w:r>
      <w:r w:rsidR="00C57775" w:rsidRPr="00B6124D">
        <w:rPr>
          <w:sz w:val="22"/>
          <w:szCs w:val="22"/>
        </w:rPr>
        <w:t xml:space="preserve"> than on the grounds and pursuant to the terms expressly set forth in this Safe</w:t>
      </w:r>
      <w:r w:rsidR="00AD3E22" w:rsidRPr="00B6124D">
        <w:rPr>
          <w:sz w:val="22"/>
          <w:szCs w:val="22"/>
        </w:rPr>
        <w:t xml:space="preserve"> and no circumstances, other than those expressly set forth in this Safe, constitute a ground for termination of this Safe. </w:t>
      </w:r>
    </w:p>
    <w:p w14:paraId="119700DB" w14:textId="77777777" w:rsidR="00173695" w:rsidRPr="00B6124D" w:rsidRDefault="00817577" w:rsidP="00205B62">
      <w:pPr>
        <w:autoSpaceDE w:val="0"/>
        <w:autoSpaceDN w:val="0"/>
        <w:adjustRightInd w:val="0"/>
        <w:spacing w:before="0" w:after="120"/>
        <w:ind w:firstLine="0"/>
        <w:jc w:val="both"/>
        <w:rPr>
          <w:b/>
          <w:i/>
          <w:sz w:val="22"/>
          <w:szCs w:val="22"/>
        </w:rPr>
      </w:pPr>
      <w:r w:rsidRPr="00B6124D">
        <w:rPr>
          <w:sz w:val="22"/>
          <w:szCs w:val="22"/>
        </w:rPr>
        <w:t>2.</w:t>
      </w:r>
      <w:r w:rsidR="00412847" w:rsidRPr="00B6124D">
        <w:rPr>
          <w:sz w:val="22"/>
          <w:szCs w:val="22"/>
        </w:rPr>
        <w:tab/>
      </w:r>
      <w:r w:rsidRPr="00B6124D">
        <w:rPr>
          <w:b/>
          <w:i/>
          <w:sz w:val="22"/>
          <w:szCs w:val="22"/>
        </w:rPr>
        <w:t>Definitio</w:t>
      </w:r>
      <w:r w:rsidR="00846D58" w:rsidRPr="00B6124D">
        <w:rPr>
          <w:b/>
          <w:i/>
          <w:sz w:val="22"/>
          <w:szCs w:val="22"/>
        </w:rPr>
        <w:t>n</w:t>
      </w:r>
      <w:r w:rsidR="00785568" w:rsidRPr="00B6124D">
        <w:rPr>
          <w:b/>
          <w:i/>
          <w:sz w:val="22"/>
          <w:szCs w:val="22"/>
        </w:rPr>
        <w:t>s</w:t>
      </w:r>
    </w:p>
    <w:p w14:paraId="089F2807" w14:textId="77777777" w:rsidR="00515627" w:rsidRPr="00B6124D" w:rsidRDefault="00173695" w:rsidP="00205B62">
      <w:pPr>
        <w:autoSpaceDE w:val="0"/>
        <w:autoSpaceDN w:val="0"/>
        <w:adjustRightInd w:val="0"/>
        <w:spacing w:before="0" w:after="120"/>
        <w:ind w:firstLine="0"/>
        <w:jc w:val="both"/>
        <w:rPr>
          <w:sz w:val="22"/>
          <w:szCs w:val="22"/>
        </w:rPr>
      </w:pPr>
      <w:r w:rsidRPr="00B6124D">
        <w:rPr>
          <w:sz w:val="22"/>
          <w:szCs w:val="22"/>
        </w:rPr>
        <w:tab/>
      </w:r>
      <w:r w:rsidR="00515627" w:rsidRPr="00B6124D">
        <w:rPr>
          <w:sz w:val="22"/>
          <w:szCs w:val="22"/>
        </w:rPr>
        <w:t>“</w:t>
      </w:r>
      <w:r w:rsidR="00515627" w:rsidRPr="00B6124D">
        <w:rPr>
          <w:b/>
          <w:sz w:val="22"/>
          <w:szCs w:val="22"/>
        </w:rPr>
        <w:t>Capital Stock</w:t>
      </w:r>
      <w:r w:rsidR="00515627" w:rsidRPr="00B6124D">
        <w:rPr>
          <w:sz w:val="22"/>
          <w:szCs w:val="22"/>
        </w:rPr>
        <w:t xml:space="preserve">” means the </w:t>
      </w:r>
      <w:r w:rsidR="006575D9" w:rsidRPr="00B6124D">
        <w:rPr>
          <w:sz w:val="22"/>
          <w:szCs w:val="22"/>
        </w:rPr>
        <w:t xml:space="preserve">shares </w:t>
      </w:r>
      <w:r w:rsidR="00515627" w:rsidRPr="00B6124D">
        <w:rPr>
          <w:sz w:val="22"/>
          <w:szCs w:val="22"/>
        </w:rPr>
        <w:t>of the Company, including, without limitation, the “</w:t>
      </w:r>
      <w:r w:rsidR="00515627" w:rsidRPr="00B6124D">
        <w:rPr>
          <w:b/>
          <w:sz w:val="22"/>
          <w:szCs w:val="22"/>
        </w:rPr>
        <w:t>Common Stock</w:t>
      </w:r>
      <w:r w:rsidR="00515627" w:rsidRPr="00B6124D">
        <w:rPr>
          <w:sz w:val="22"/>
          <w:szCs w:val="22"/>
        </w:rPr>
        <w:t>” and the “</w:t>
      </w:r>
      <w:r w:rsidR="00515627" w:rsidRPr="00B6124D">
        <w:rPr>
          <w:b/>
          <w:sz w:val="22"/>
          <w:szCs w:val="22"/>
        </w:rPr>
        <w:t>Preferred Stock</w:t>
      </w:r>
      <w:r w:rsidR="00515627" w:rsidRPr="00B6124D">
        <w:rPr>
          <w:sz w:val="22"/>
          <w:szCs w:val="22"/>
        </w:rPr>
        <w:t>.”</w:t>
      </w:r>
      <w:r w:rsidR="006575D9" w:rsidRPr="00B6124D">
        <w:rPr>
          <w:sz w:val="22"/>
          <w:szCs w:val="22"/>
        </w:rPr>
        <w:t xml:space="preserve"> For the purposes of this Safe, a “share of the Company”</w:t>
      </w:r>
      <w:r w:rsidR="00403845" w:rsidRPr="00B6124D">
        <w:rPr>
          <w:sz w:val="22"/>
          <w:szCs w:val="22"/>
        </w:rPr>
        <w:t xml:space="preserve"> means a notional part of a share of the Company having a nominal value of €0.01</w:t>
      </w:r>
      <w:r w:rsidR="00101F0B" w:rsidRPr="00B6124D">
        <w:rPr>
          <w:rStyle w:val="FootnoteReference"/>
          <w:sz w:val="22"/>
          <w:szCs w:val="22"/>
        </w:rPr>
        <w:footnoteReference w:id="1"/>
      </w:r>
      <w:r w:rsidR="00403845" w:rsidRPr="00B6124D">
        <w:rPr>
          <w:sz w:val="22"/>
          <w:szCs w:val="22"/>
        </w:rPr>
        <w:t xml:space="preserve">; for example, </w:t>
      </w:r>
      <w:r w:rsidR="00C95772" w:rsidRPr="00B6124D">
        <w:rPr>
          <w:sz w:val="22"/>
          <w:szCs w:val="22"/>
        </w:rPr>
        <w:t>100 shares of the Company means, for the purposes of this Safe, a share of the Company with the nominal value of €1</w:t>
      </w:r>
      <w:r w:rsidR="003C5BAD" w:rsidRPr="00B6124D">
        <w:rPr>
          <w:rStyle w:val="FootnoteReference"/>
          <w:sz w:val="22"/>
          <w:szCs w:val="22"/>
        </w:rPr>
        <w:footnoteReference w:id="2"/>
      </w:r>
      <w:r w:rsidR="00C95772" w:rsidRPr="00B6124D">
        <w:rPr>
          <w:sz w:val="22"/>
          <w:szCs w:val="22"/>
        </w:rPr>
        <w:t>.</w:t>
      </w:r>
    </w:p>
    <w:p w14:paraId="5CCF591A" w14:textId="77777777" w:rsidR="00817577" w:rsidRPr="00B6124D" w:rsidRDefault="00515627" w:rsidP="00205B62">
      <w:pPr>
        <w:autoSpaceDE w:val="0"/>
        <w:autoSpaceDN w:val="0"/>
        <w:adjustRightInd w:val="0"/>
        <w:spacing w:before="0" w:after="120"/>
        <w:ind w:firstLine="0"/>
        <w:jc w:val="both"/>
        <w:rPr>
          <w:sz w:val="22"/>
          <w:szCs w:val="22"/>
        </w:rPr>
      </w:pPr>
      <w:r w:rsidRPr="00B6124D">
        <w:rPr>
          <w:sz w:val="22"/>
          <w:szCs w:val="22"/>
        </w:rPr>
        <w:tab/>
      </w:r>
      <w:r w:rsidR="00817577" w:rsidRPr="00B6124D">
        <w:rPr>
          <w:sz w:val="22"/>
          <w:szCs w:val="22"/>
        </w:rPr>
        <w:t>“</w:t>
      </w:r>
      <w:r w:rsidR="00817577" w:rsidRPr="00B6124D">
        <w:rPr>
          <w:b/>
          <w:sz w:val="22"/>
          <w:szCs w:val="22"/>
        </w:rPr>
        <w:t>Change of Control</w:t>
      </w:r>
      <w:r w:rsidR="00817577" w:rsidRPr="00B6124D">
        <w:rPr>
          <w:sz w:val="22"/>
          <w:szCs w:val="22"/>
        </w:rPr>
        <w:t>” means (i) a transaction or series of related transactions in which any</w:t>
      </w:r>
      <w:r w:rsidR="006F0751" w:rsidRPr="00B6124D">
        <w:rPr>
          <w:sz w:val="22"/>
          <w:szCs w:val="22"/>
        </w:rPr>
        <w:t xml:space="preserve"> </w:t>
      </w:r>
      <w:r w:rsidR="00E20FD8" w:rsidRPr="00B6124D">
        <w:rPr>
          <w:sz w:val="22"/>
          <w:szCs w:val="22"/>
        </w:rPr>
        <w:t>person together with persons Controlled, Controlling or under common Control with the first person, becomes the owner, directly or indirectly, of more than 50% of the outstanding voting securities of the Company having the right to vote for the election of members of the Company’s supervisory board or management board</w:t>
      </w:r>
      <w:r w:rsidR="00817577" w:rsidRPr="00B6124D">
        <w:rPr>
          <w:sz w:val="22"/>
          <w:szCs w:val="22"/>
        </w:rPr>
        <w:t xml:space="preserve"> (ii) any </w:t>
      </w:r>
      <w:r w:rsidR="00817577" w:rsidRPr="00B6124D">
        <w:rPr>
          <w:sz w:val="22"/>
          <w:szCs w:val="22"/>
        </w:rPr>
        <w:lastRenderedPageBreak/>
        <w:t xml:space="preserve">merger of the Company, other than a transaction or series of related transactions in which the </w:t>
      </w:r>
      <w:r w:rsidR="00401B73" w:rsidRPr="00B6124D">
        <w:rPr>
          <w:sz w:val="22"/>
          <w:szCs w:val="22"/>
        </w:rPr>
        <w:t>holders</w:t>
      </w:r>
      <w:r w:rsidR="00817577" w:rsidRPr="00B6124D">
        <w:rPr>
          <w:sz w:val="22"/>
          <w:szCs w:val="22"/>
        </w:rPr>
        <w:t xml:space="preserve"> of the voting securities of the Company outstanding immediately prior to such transaction or series of related transactions retain, immediately after such transaction or series of related transactions, at least a majority of the total voting power represented by the outstanding voting securities of the Company or such other surviving or resulting entity or (iii) a sale, lease or other disposition of all or substantially all of the assets of the Company.  </w:t>
      </w:r>
    </w:p>
    <w:p w14:paraId="199A1C01" w14:textId="77777777" w:rsidR="00DF67D9" w:rsidRPr="00B6124D" w:rsidRDefault="00DF67D9" w:rsidP="00207809">
      <w:pPr>
        <w:spacing w:before="0" w:after="120"/>
        <w:jc w:val="both"/>
        <w:rPr>
          <w:rStyle w:val="DeltaViewDeletion"/>
          <w:strike w:val="0"/>
          <w:color w:val="000000"/>
          <w:sz w:val="22"/>
          <w:szCs w:val="22"/>
        </w:rPr>
      </w:pPr>
      <w:r w:rsidRPr="00B6124D">
        <w:rPr>
          <w:rStyle w:val="DeltaViewDeletion"/>
          <w:strike w:val="0"/>
          <w:color w:val="000000"/>
          <w:sz w:val="22"/>
          <w:szCs w:val="22"/>
        </w:rPr>
        <w:t>“</w:t>
      </w:r>
      <w:r w:rsidRPr="00B6124D">
        <w:rPr>
          <w:rStyle w:val="DeltaViewDeletion"/>
          <w:b/>
          <w:bCs/>
          <w:strike w:val="0"/>
          <w:color w:val="000000"/>
          <w:sz w:val="22"/>
          <w:szCs w:val="22"/>
        </w:rPr>
        <w:t>Company Capitalization</w:t>
      </w:r>
      <w:r w:rsidRPr="00B6124D">
        <w:rPr>
          <w:rStyle w:val="DeltaViewDeletion"/>
          <w:strike w:val="0"/>
          <w:color w:val="000000"/>
          <w:sz w:val="22"/>
          <w:szCs w:val="22"/>
        </w:rPr>
        <w:t>” is calculated as of immediately prior to the Equity Financing and (without double-counting</w:t>
      </w:r>
      <w:r w:rsidR="00141AEC" w:rsidRPr="00B6124D">
        <w:rPr>
          <w:rStyle w:val="DeltaViewDeletion"/>
          <w:strike w:val="0"/>
          <w:color w:val="000000"/>
          <w:sz w:val="22"/>
          <w:szCs w:val="22"/>
        </w:rPr>
        <w:t>, in each case calculated on an as-converted to Common Stock basis</w:t>
      </w:r>
      <w:r w:rsidRPr="00B6124D">
        <w:rPr>
          <w:rStyle w:val="DeltaViewDeletion"/>
          <w:strike w:val="0"/>
          <w:color w:val="000000"/>
          <w:sz w:val="22"/>
          <w:szCs w:val="22"/>
        </w:rPr>
        <w:t>):</w:t>
      </w:r>
    </w:p>
    <w:p w14:paraId="483118DF" w14:textId="77777777" w:rsidR="00DF67D9" w:rsidRPr="00B6124D" w:rsidRDefault="00DF67D9" w:rsidP="00207809">
      <w:pPr>
        <w:pStyle w:val="ListParagraph"/>
        <w:numPr>
          <w:ilvl w:val="0"/>
          <w:numId w:val="23"/>
        </w:numPr>
        <w:spacing w:before="0" w:after="120"/>
        <w:ind w:left="1418" w:hanging="567"/>
        <w:contextualSpacing w:val="0"/>
        <w:jc w:val="both"/>
        <w:rPr>
          <w:rStyle w:val="DeltaViewDeletion"/>
          <w:strike w:val="0"/>
          <w:color w:val="000000"/>
          <w:sz w:val="22"/>
          <w:szCs w:val="22"/>
        </w:rPr>
      </w:pPr>
      <w:r w:rsidRPr="00B6124D">
        <w:rPr>
          <w:rStyle w:val="DeltaViewDeletion"/>
          <w:strike w:val="0"/>
          <w:color w:val="000000"/>
          <w:sz w:val="22"/>
          <w:szCs w:val="22"/>
        </w:rPr>
        <w:t>Includes all shares of Capital Stock issued and outstanding;</w:t>
      </w:r>
    </w:p>
    <w:p w14:paraId="1E93F9EE" w14:textId="77777777" w:rsidR="00DF67D9" w:rsidRPr="00B6124D" w:rsidRDefault="00DF67D9" w:rsidP="00207809">
      <w:pPr>
        <w:pStyle w:val="ListParagraph"/>
        <w:numPr>
          <w:ilvl w:val="0"/>
          <w:numId w:val="23"/>
        </w:numPr>
        <w:spacing w:before="0" w:after="120"/>
        <w:ind w:left="1418" w:hanging="567"/>
        <w:contextualSpacing w:val="0"/>
        <w:jc w:val="both"/>
        <w:rPr>
          <w:rStyle w:val="DeltaViewDeletion"/>
          <w:strike w:val="0"/>
          <w:color w:val="000000"/>
          <w:sz w:val="22"/>
          <w:szCs w:val="22"/>
        </w:rPr>
      </w:pPr>
      <w:r w:rsidRPr="00B6124D">
        <w:rPr>
          <w:rStyle w:val="DeltaViewDeletion"/>
          <w:strike w:val="0"/>
          <w:color w:val="000000"/>
          <w:sz w:val="22"/>
          <w:szCs w:val="22"/>
        </w:rPr>
        <w:t>Includes all Converting Securities;</w:t>
      </w:r>
    </w:p>
    <w:p w14:paraId="2DE7EDEA" w14:textId="77777777" w:rsidR="00DF67D9" w:rsidRPr="00B6124D" w:rsidRDefault="00DF67D9" w:rsidP="00207809">
      <w:pPr>
        <w:pStyle w:val="ListParagraph"/>
        <w:numPr>
          <w:ilvl w:val="0"/>
          <w:numId w:val="23"/>
        </w:numPr>
        <w:spacing w:before="0" w:after="120"/>
        <w:ind w:left="1418" w:hanging="567"/>
        <w:contextualSpacing w:val="0"/>
        <w:jc w:val="both"/>
        <w:rPr>
          <w:rStyle w:val="DeltaViewDeletion"/>
          <w:strike w:val="0"/>
          <w:color w:val="000000"/>
          <w:sz w:val="22"/>
          <w:szCs w:val="22"/>
        </w:rPr>
      </w:pPr>
      <w:r w:rsidRPr="00B6124D">
        <w:rPr>
          <w:rStyle w:val="DeltaViewDeletion"/>
          <w:strike w:val="0"/>
          <w:color w:val="000000"/>
          <w:sz w:val="22"/>
          <w:szCs w:val="22"/>
        </w:rPr>
        <w:t xml:space="preserve">Includes all (i) issued and outstanding Options and (ii) Promised Options; </w:t>
      </w:r>
      <w:r w:rsidR="00141AEC" w:rsidRPr="00B6124D">
        <w:rPr>
          <w:rStyle w:val="DeltaViewDeletion"/>
          <w:strike w:val="0"/>
          <w:color w:val="000000"/>
          <w:sz w:val="22"/>
          <w:szCs w:val="22"/>
        </w:rPr>
        <w:t>and</w:t>
      </w:r>
    </w:p>
    <w:p w14:paraId="359EE44E" w14:textId="6CC471EB" w:rsidR="00DF67D9" w:rsidRPr="00B6124D" w:rsidRDefault="00DF67D9" w:rsidP="00207809">
      <w:pPr>
        <w:pStyle w:val="ListParagraph"/>
        <w:numPr>
          <w:ilvl w:val="0"/>
          <w:numId w:val="23"/>
        </w:numPr>
        <w:spacing w:before="0" w:after="120"/>
        <w:ind w:left="1418" w:hanging="567"/>
        <w:contextualSpacing w:val="0"/>
        <w:jc w:val="both"/>
        <w:rPr>
          <w:rStyle w:val="DeltaViewDeletion"/>
          <w:strike w:val="0"/>
          <w:color w:val="000000"/>
          <w:sz w:val="22"/>
          <w:szCs w:val="22"/>
        </w:rPr>
      </w:pPr>
      <w:r>
        <w:rPr>
          <w:rStyle w:val="DeltaViewDeletion"/>
          <w:strike w:val="0"/>
          <w:color w:val="000000"/>
          <w:sz w:val="22"/>
          <w:szCs w:val="22"/>
        </w:rPr>
        <w:t xml:space="preserve"> </w:t>
      </w:r>
      <w:r w:rsidRPr="00B6124D">
        <w:rPr>
          <w:rStyle w:val="DeltaViewDeletion"/>
          <w:strike w:val="0"/>
          <w:color w:val="000000"/>
          <w:sz w:val="22"/>
          <w:szCs w:val="22"/>
        </w:rPr>
        <w:t>Includes the Unissued Option Pool</w:t>
      </w:r>
      <w:r w:rsidR="00141AEC" w:rsidRPr="00B6124D">
        <w:rPr>
          <w:rStyle w:val="DeltaViewDeletion"/>
          <w:strike w:val="0"/>
          <w:color w:val="000000"/>
          <w:sz w:val="22"/>
          <w:szCs w:val="22"/>
        </w:rPr>
        <w:t xml:space="preserve">, except that </w:t>
      </w:r>
      <w:r w:rsidRPr="00B6124D">
        <w:rPr>
          <w:rStyle w:val="DeltaViewDeletion"/>
          <w:strike w:val="0"/>
          <w:color w:val="000000"/>
          <w:sz w:val="22"/>
          <w:szCs w:val="22"/>
        </w:rPr>
        <w:t>any increase to the Unissued Option Pool in connection with the Equity Financing</w:t>
      </w:r>
      <w:r>
        <w:rPr>
          <w:rStyle w:val="DeltaViewDeletion"/>
          <w:strike w:val="0"/>
          <w:color w:val="000000"/>
          <w:sz w:val="22"/>
          <w:szCs w:val="22"/>
        </w:rPr>
        <w:t xml:space="preserve"> will only be included to the extent that the number of Promised Options exceeds the Unissued Option Pool prior to such increase</w:t>
      </w:r>
      <w:r w:rsidRPr="00B6124D">
        <w:rPr>
          <w:rStyle w:val="DeltaViewDeletion"/>
          <w:strike w:val="0"/>
          <w:color w:val="000000"/>
          <w:sz w:val="22"/>
          <w:szCs w:val="22"/>
        </w:rPr>
        <w:t>.</w:t>
      </w:r>
    </w:p>
    <w:p w14:paraId="2BA943F4" w14:textId="77777777" w:rsidR="00AE493C" w:rsidRPr="00B6124D" w:rsidRDefault="00AE493C" w:rsidP="00205B62">
      <w:pPr>
        <w:autoSpaceDE w:val="0"/>
        <w:autoSpaceDN w:val="0"/>
        <w:adjustRightInd w:val="0"/>
        <w:spacing w:before="0" w:after="120"/>
        <w:ind w:firstLine="0"/>
        <w:jc w:val="both"/>
        <w:rPr>
          <w:sz w:val="22"/>
          <w:szCs w:val="22"/>
        </w:rPr>
      </w:pPr>
      <w:r w:rsidRPr="00B6124D">
        <w:rPr>
          <w:sz w:val="22"/>
          <w:szCs w:val="22"/>
        </w:rPr>
        <w:tab/>
        <w:t>“</w:t>
      </w:r>
      <w:r w:rsidRPr="00B6124D">
        <w:rPr>
          <w:b/>
          <w:bCs/>
          <w:sz w:val="22"/>
          <w:szCs w:val="22"/>
        </w:rPr>
        <w:t>Control</w:t>
      </w:r>
      <w:r w:rsidRPr="00B6124D">
        <w:rPr>
          <w:sz w:val="22"/>
          <w:szCs w:val="22"/>
        </w:rPr>
        <w:t>”, “</w:t>
      </w:r>
      <w:r w:rsidRPr="00B6124D">
        <w:rPr>
          <w:b/>
          <w:bCs/>
          <w:sz w:val="22"/>
          <w:szCs w:val="22"/>
        </w:rPr>
        <w:t>Controlled</w:t>
      </w:r>
      <w:r w:rsidRPr="00B6124D">
        <w:rPr>
          <w:sz w:val="22"/>
          <w:szCs w:val="22"/>
        </w:rPr>
        <w:t>” and “</w:t>
      </w:r>
      <w:r w:rsidRPr="00B6124D">
        <w:rPr>
          <w:b/>
          <w:bCs/>
          <w:sz w:val="22"/>
          <w:szCs w:val="22"/>
        </w:rPr>
        <w:t>Controlling</w:t>
      </w:r>
      <w:r w:rsidRPr="00B6124D">
        <w:rPr>
          <w:sz w:val="22"/>
          <w:szCs w:val="22"/>
        </w:rPr>
        <w:t>” refers to a relationship in which a person is a controlled person of another person within the meaning of Article 10 of the Securities Market Act of Estonia (</w:t>
      </w:r>
      <w:r w:rsidRPr="00B6124D">
        <w:rPr>
          <w:i/>
          <w:iCs/>
          <w:sz w:val="22"/>
          <w:szCs w:val="22"/>
        </w:rPr>
        <w:t>väärtpaberituruseadus</w:t>
      </w:r>
      <w:r w:rsidRPr="00B6124D">
        <w:rPr>
          <w:sz w:val="22"/>
          <w:szCs w:val="22"/>
        </w:rPr>
        <w:t>).</w:t>
      </w:r>
      <w:r w:rsidR="00D33778" w:rsidRPr="00B6124D">
        <w:rPr>
          <w:sz w:val="22"/>
          <w:szCs w:val="22"/>
        </w:rPr>
        <w:tab/>
      </w:r>
    </w:p>
    <w:p w14:paraId="08A4F17A" w14:textId="77777777" w:rsidR="00D33778" w:rsidRPr="00B6124D" w:rsidRDefault="00D33778" w:rsidP="00207809">
      <w:pPr>
        <w:spacing w:before="0" w:after="120"/>
        <w:jc w:val="both"/>
        <w:rPr>
          <w:sz w:val="22"/>
          <w:szCs w:val="22"/>
        </w:rPr>
      </w:pPr>
      <w:r w:rsidRPr="00B6124D">
        <w:rPr>
          <w:sz w:val="22"/>
          <w:szCs w:val="22"/>
        </w:rPr>
        <w:t>“</w:t>
      </w:r>
      <w:r w:rsidRPr="00B6124D">
        <w:rPr>
          <w:b/>
          <w:sz w:val="22"/>
          <w:szCs w:val="22"/>
        </w:rPr>
        <w:t>Converting Securities</w:t>
      </w:r>
      <w:r w:rsidRPr="00B6124D">
        <w:rPr>
          <w:sz w:val="22"/>
          <w:szCs w:val="22"/>
        </w:rPr>
        <w:t>” includes this Safe and other convertible securities issued by the Company, including but not limited to: (i) other Safes; (ii) convertible promissory notes</w:t>
      </w:r>
      <w:r w:rsidR="0018000B" w:rsidRPr="00B6124D">
        <w:rPr>
          <w:sz w:val="22"/>
          <w:szCs w:val="22"/>
        </w:rPr>
        <w:t>, convertible loans</w:t>
      </w:r>
      <w:r w:rsidRPr="00B6124D">
        <w:rPr>
          <w:sz w:val="22"/>
          <w:szCs w:val="22"/>
        </w:rPr>
        <w:t xml:space="preserve"> and other convertible debt instruments; and (iii) convertible securities that have the right to convert</w:t>
      </w:r>
      <w:r w:rsidR="00410836" w:rsidRPr="00B6124D">
        <w:rPr>
          <w:sz w:val="22"/>
          <w:szCs w:val="22"/>
        </w:rPr>
        <w:t xml:space="preserve"> into shares of Capital Stock</w:t>
      </w:r>
      <w:r w:rsidRPr="00B6124D">
        <w:rPr>
          <w:sz w:val="22"/>
          <w:szCs w:val="22"/>
        </w:rPr>
        <w:t>.</w:t>
      </w:r>
    </w:p>
    <w:p w14:paraId="3AD09383" w14:textId="413B21A0" w:rsidR="007B32D0" w:rsidRDefault="002858A4" w:rsidP="00205B62">
      <w:pPr>
        <w:autoSpaceDE w:val="0"/>
        <w:autoSpaceDN w:val="0"/>
        <w:adjustRightInd w:val="0"/>
        <w:spacing w:before="0" w:after="120"/>
        <w:ind w:firstLine="0"/>
        <w:jc w:val="both"/>
        <w:rPr>
          <w:sz w:val="22"/>
          <w:szCs w:val="22"/>
        </w:rPr>
      </w:pPr>
      <w:r w:rsidRPr="00B6124D">
        <w:rPr>
          <w:sz w:val="22"/>
          <w:szCs w:val="22"/>
        </w:rPr>
        <w:tab/>
      </w:r>
      <w:r w:rsidR="007B32D0" w:rsidRPr="00B6124D">
        <w:rPr>
          <w:sz w:val="22"/>
          <w:szCs w:val="22"/>
        </w:rPr>
        <w:t>“</w:t>
      </w:r>
      <w:r w:rsidR="007B32D0" w:rsidRPr="00B6124D">
        <w:rPr>
          <w:b/>
          <w:sz w:val="22"/>
          <w:szCs w:val="22"/>
        </w:rPr>
        <w:t>Direct Listing</w:t>
      </w:r>
      <w:r w:rsidR="007B32D0" w:rsidRPr="00B6124D">
        <w:rPr>
          <w:sz w:val="22"/>
          <w:szCs w:val="22"/>
        </w:rPr>
        <w:t xml:space="preserve">” means the Company’s initial listing of its Common Stock on a national securities exchange, as approved by the </w:t>
      </w:r>
      <w:r w:rsidR="007561E8" w:rsidRPr="00B6124D">
        <w:rPr>
          <w:sz w:val="22"/>
          <w:szCs w:val="22"/>
        </w:rPr>
        <w:t xml:space="preserve">relevant governing body of the </w:t>
      </w:r>
      <w:r>
        <w:rPr>
          <w:sz w:val="22"/>
          <w:szCs w:val="22"/>
        </w:rPr>
        <w:t>Company. For the avoidance of doubt, a Direct Listing will not be deemed to be an underwritten offering and will not involve any underwriting services.</w:t>
      </w:r>
    </w:p>
    <w:p w14:paraId="0EE41495" w14:textId="77777777" w:rsidR="006F37FE" w:rsidRPr="00B6124D" w:rsidRDefault="005C6652" w:rsidP="00205B62">
      <w:pPr>
        <w:autoSpaceDE w:val="0"/>
        <w:autoSpaceDN w:val="0"/>
        <w:adjustRightInd w:val="0"/>
        <w:spacing w:before="0" w:after="120"/>
        <w:ind w:firstLine="0"/>
        <w:jc w:val="both"/>
        <w:rPr>
          <w:sz w:val="22"/>
          <w:szCs w:val="22"/>
        </w:rPr>
      </w:pPr>
      <w:r w:rsidRPr="00B6124D">
        <w:rPr>
          <w:sz w:val="22"/>
          <w:szCs w:val="22"/>
        </w:rPr>
        <w:tab/>
      </w:r>
      <w:r w:rsidR="001D7B14" w:rsidRPr="00B6124D">
        <w:rPr>
          <w:sz w:val="22"/>
          <w:szCs w:val="22"/>
        </w:rPr>
        <w:t>“</w:t>
      </w:r>
      <w:r w:rsidR="00132B42" w:rsidRPr="00B6124D">
        <w:rPr>
          <w:b/>
          <w:sz w:val="22"/>
          <w:szCs w:val="22"/>
        </w:rPr>
        <w:t>Dissolution</w:t>
      </w:r>
      <w:r w:rsidR="001D7B14" w:rsidRPr="00B6124D">
        <w:rPr>
          <w:b/>
          <w:sz w:val="22"/>
          <w:szCs w:val="22"/>
        </w:rPr>
        <w:t xml:space="preserve"> Event</w:t>
      </w:r>
      <w:r w:rsidR="001D7B14" w:rsidRPr="00B6124D">
        <w:rPr>
          <w:sz w:val="22"/>
          <w:szCs w:val="22"/>
        </w:rPr>
        <w:t>” mean</w:t>
      </w:r>
      <w:r w:rsidR="00FA1C90" w:rsidRPr="00B6124D">
        <w:rPr>
          <w:sz w:val="22"/>
          <w:szCs w:val="22"/>
        </w:rPr>
        <w:t>s</w:t>
      </w:r>
      <w:r w:rsidR="001D7B14" w:rsidRPr="00B6124D">
        <w:rPr>
          <w:sz w:val="22"/>
          <w:szCs w:val="22"/>
        </w:rPr>
        <w:t xml:space="preserve"> </w:t>
      </w:r>
      <w:r w:rsidR="00F211B2" w:rsidRPr="00B6124D">
        <w:rPr>
          <w:sz w:val="22"/>
          <w:szCs w:val="22"/>
        </w:rPr>
        <w:t>(i) a voluntary termination of operations, (ii) a general assignment for the benefit of the Company’s creditors</w:t>
      </w:r>
      <w:r w:rsidR="000F565A" w:rsidRPr="00B6124D">
        <w:rPr>
          <w:sz w:val="22"/>
          <w:szCs w:val="22"/>
        </w:rPr>
        <w:t xml:space="preserve"> (if and to the extent such concept exists under Estonian law</w:t>
      </w:r>
      <w:r w:rsidR="008A6672" w:rsidRPr="00B6124D">
        <w:rPr>
          <w:sz w:val="22"/>
          <w:szCs w:val="22"/>
        </w:rPr>
        <w:t xml:space="preserve"> at the relevant time</w:t>
      </w:r>
      <w:r w:rsidR="000F565A" w:rsidRPr="00B6124D">
        <w:rPr>
          <w:sz w:val="22"/>
          <w:szCs w:val="22"/>
        </w:rPr>
        <w:t>)</w:t>
      </w:r>
      <w:r w:rsidR="00F211B2" w:rsidRPr="00B6124D">
        <w:rPr>
          <w:sz w:val="22"/>
          <w:szCs w:val="22"/>
        </w:rPr>
        <w:t xml:space="preserve"> or (iii) </w:t>
      </w:r>
      <w:r w:rsidR="001D7B14" w:rsidRPr="00B6124D">
        <w:rPr>
          <w:sz w:val="22"/>
          <w:szCs w:val="22"/>
        </w:rPr>
        <w:t xml:space="preserve">any </w:t>
      </w:r>
      <w:r w:rsidR="00F211B2" w:rsidRPr="00B6124D">
        <w:rPr>
          <w:sz w:val="22"/>
          <w:szCs w:val="22"/>
        </w:rPr>
        <w:t xml:space="preserve">other </w:t>
      </w:r>
      <w:r w:rsidR="001D7B14" w:rsidRPr="00B6124D">
        <w:rPr>
          <w:sz w:val="22"/>
          <w:szCs w:val="22"/>
        </w:rPr>
        <w:t>liquidation, dissolution or winding up of the Company</w:t>
      </w:r>
      <w:r w:rsidR="00D20E84" w:rsidRPr="00B6124D">
        <w:rPr>
          <w:sz w:val="22"/>
          <w:szCs w:val="22"/>
        </w:rPr>
        <w:t xml:space="preserve"> (</w:t>
      </w:r>
      <w:r w:rsidR="00D20E84" w:rsidRPr="00B6124D">
        <w:rPr>
          <w:b/>
          <w:sz w:val="22"/>
          <w:szCs w:val="22"/>
          <w:u w:val="single"/>
        </w:rPr>
        <w:t>excluding</w:t>
      </w:r>
      <w:r w:rsidR="00D20E84" w:rsidRPr="00B6124D">
        <w:rPr>
          <w:sz w:val="22"/>
          <w:szCs w:val="22"/>
        </w:rPr>
        <w:t xml:space="preserve"> a Liquidity Event)</w:t>
      </w:r>
      <w:r w:rsidR="001D7B14" w:rsidRPr="00B6124D">
        <w:rPr>
          <w:sz w:val="22"/>
          <w:szCs w:val="22"/>
        </w:rPr>
        <w:t>, whether voluntary or involuntary</w:t>
      </w:r>
      <w:r w:rsidR="00234BC8" w:rsidRPr="00B6124D">
        <w:rPr>
          <w:sz w:val="22"/>
          <w:szCs w:val="22"/>
        </w:rPr>
        <w:t>.</w:t>
      </w:r>
    </w:p>
    <w:p w14:paraId="2CA7C97D" w14:textId="77777777" w:rsidR="005C17C0" w:rsidRPr="00B6124D" w:rsidRDefault="005C17C0" w:rsidP="00205B62">
      <w:pPr>
        <w:autoSpaceDE w:val="0"/>
        <w:autoSpaceDN w:val="0"/>
        <w:adjustRightInd w:val="0"/>
        <w:spacing w:before="0" w:after="120"/>
        <w:ind w:firstLine="0"/>
        <w:jc w:val="both"/>
        <w:rPr>
          <w:sz w:val="22"/>
          <w:szCs w:val="22"/>
        </w:rPr>
      </w:pPr>
      <w:r w:rsidRPr="00B6124D">
        <w:rPr>
          <w:sz w:val="22"/>
          <w:szCs w:val="22"/>
        </w:rPr>
        <w:tab/>
        <w:t>“</w:t>
      </w:r>
      <w:r w:rsidR="006704FD" w:rsidRPr="00B6124D">
        <w:rPr>
          <w:b/>
          <w:sz w:val="22"/>
          <w:szCs w:val="22"/>
        </w:rPr>
        <w:t>Dividend Amount</w:t>
      </w:r>
      <w:r w:rsidR="006704FD" w:rsidRPr="00B6124D">
        <w:rPr>
          <w:sz w:val="22"/>
          <w:szCs w:val="22"/>
        </w:rPr>
        <w:t>” means, with respect to any date on which the Company pays a dividend on its outstanding Common Stock, the amount of such dividend that is paid per share of Common Stock multiplied by (x) the Purchase Amount divided by (y) the Liquidity Price (treating the dividend date as a Liquidity Event solely for purposes of calculating such Liquidity Price)</w:t>
      </w:r>
      <w:r w:rsidRPr="00B6124D">
        <w:rPr>
          <w:sz w:val="22"/>
          <w:szCs w:val="22"/>
        </w:rPr>
        <w:t>.</w:t>
      </w:r>
    </w:p>
    <w:p w14:paraId="3BE97A41" w14:textId="77777777" w:rsidR="0043111A" w:rsidRPr="00B6124D" w:rsidRDefault="006F37FE" w:rsidP="00205B62">
      <w:pPr>
        <w:autoSpaceDE w:val="0"/>
        <w:autoSpaceDN w:val="0"/>
        <w:adjustRightInd w:val="0"/>
        <w:spacing w:before="0" w:after="120"/>
        <w:ind w:firstLine="0"/>
        <w:jc w:val="both"/>
        <w:rPr>
          <w:sz w:val="22"/>
          <w:szCs w:val="22"/>
        </w:rPr>
      </w:pPr>
      <w:r w:rsidRPr="00B6124D">
        <w:rPr>
          <w:sz w:val="22"/>
          <w:szCs w:val="22"/>
        </w:rPr>
        <w:tab/>
      </w:r>
      <w:r w:rsidR="0043111A" w:rsidRPr="00B6124D">
        <w:rPr>
          <w:sz w:val="22"/>
          <w:szCs w:val="22"/>
        </w:rPr>
        <w:t>“</w:t>
      </w:r>
      <w:r w:rsidR="00525B95" w:rsidRPr="00B6124D">
        <w:rPr>
          <w:b/>
          <w:sz w:val="22"/>
          <w:szCs w:val="22"/>
        </w:rPr>
        <w:t>Equity Financing</w:t>
      </w:r>
      <w:r w:rsidR="00525B95" w:rsidRPr="00B6124D">
        <w:rPr>
          <w:sz w:val="22"/>
          <w:szCs w:val="22"/>
        </w:rPr>
        <w:t>” means a bona fide transaction or series of transactions with the principal purpose of raising capital, pursuant to which the Company issues and sells Preferred Stock at a fixed valuation, including but not limited to, a pre-money or post-money valuation.</w:t>
      </w:r>
    </w:p>
    <w:p w14:paraId="0703F226" w14:textId="77777777" w:rsidR="00F43A4F" w:rsidRPr="00B6124D" w:rsidRDefault="00752AF8" w:rsidP="00205B62">
      <w:pPr>
        <w:autoSpaceDE w:val="0"/>
        <w:autoSpaceDN w:val="0"/>
        <w:adjustRightInd w:val="0"/>
        <w:spacing w:before="0" w:after="120"/>
        <w:ind w:firstLine="0"/>
        <w:jc w:val="both"/>
        <w:rPr>
          <w:sz w:val="22"/>
          <w:szCs w:val="22"/>
        </w:rPr>
      </w:pPr>
      <w:r w:rsidRPr="00B6124D">
        <w:rPr>
          <w:sz w:val="22"/>
          <w:szCs w:val="22"/>
        </w:rPr>
        <w:tab/>
      </w:r>
      <w:r w:rsidR="00F43A4F" w:rsidRPr="00B6124D">
        <w:rPr>
          <w:sz w:val="22"/>
          <w:szCs w:val="22"/>
        </w:rPr>
        <w:t>“</w:t>
      </w:r>
      <w:r w:rsidR="00F43A4F" w:rsidRPr="00B6124D">
        <w:rPr>
          <w:b/>
          <w:sz w:val="22"/>
          <w:szCs w:val="22"/>
        </w:rPr>
        <w:t>Initial Public Offering</w:t>
      </w:r>
      <w:r w:rsidR="00F43A4F" w:rsidRPr="00B6124D">
        <w:rPr>
          <w:sz w:val="22"/>
          <w:szCs w:val="22"/>
        </w:rPr>
        <w:t>” means the closing of the Company’s first firm commitment underwritten</w:t>
      </w:r>
      <w:r w:rsidR="00DB124C" w:rsidRPr="00B6124D">
        <w:rPr>
          <w:sz w:val="22"/>
          <w:szCs w:val="22"/>
        </w:rPr>
        <w:t xml:space="preserve"> initial public offering of </w:t>
      </w:r>
      <w:r w:rsidR="00F43A4F" w:rsidRPr="00B6124D">
        <w:rPr>
          <w:sz w:val="22"/>
          <w:szCs w:val="22"/>
        </w:rPr>
        <w:t>Common Stock pursuant to a registration statement filed under the Securities Act</w:t>
      </w:r>
      <w:r w:rsidR="000D718B" w:rsidRPr="00B6124D">
        <w:rPr>
          <w:sz w:val="22"/>
          <w:szCs w:val="22"/>
        </w:rPr>
        <w:t xml:space="preserve"> or pursuant to other applicable laws and regulations</w:t>
      </w:r>
      <w:r w:rsidR="00F43A4F" w:rsidRPr="00B6124D">
        <w:rPr>
          <w:sz w:val="22"/>
          <w:szCs w:val="22"/>
        </w:rPr>
        <w:t>.</w:t>
      </w:r>
    </w:p>
    <w:p w14:paraId="24B57845" w14:textId="77777777" w:rsidR="00961979" w:rsidRPr="00B6124D" w:rsidRDefault="00F43A4F" w:rsidP="00205B62">
      <w:pPr>
        <w:autoSpaceDE w:val="0"/>
        <w:autoSpaceDN w:val="0"/>
        <w:adjustRightInd w:val="0"/>
        <w:spacing w:before="0" w:after="120"/>
        <w:ind w:firstLine="0"/>
        <w:jc w:val="both"/>
        <w:rPr>
          <w:rStyle w:val="DeltaViewDeletion"/>
          <w:strike w:val="0"/>
          <w:color w:val="000000"/>
          <w:sz w:val="22"/>
          <w:szCs w:val="22"/>
        </w:rPr>
      </w:pPr>
      <w:r w:rsidRPr="00B6124D">
        <w:rPr>
          <w:sz w:val="22"/>
          <w:szCs w:val="22"/>
        </w:rPr>
        <w:tab/>
      </w:r>
      <w:r w:rsidR="00961979" w:rsidRPr="00B6124D">
        <w:rPr>
          <w:sz w:val="22"/>
          <w:szCs w:val="22"/>
        </w:rPr>
        <w:t>“</w:t>
      </w:r>
      <w:r w:rsidR="00961979" w:rsidRPr="00B6124D">
        <w:rPr>
          <w:b/>
          <w:sz w:val="22"/>
          <w:szCs w:val="22"/>
        </w:rPr>
        <w:t>Liquidity Capitalization</w:t>
      </w:r>
      <w:r w:rsidR="00961979" w:rsidRPr="00B6124D">
        <w:rPr>
          <w:sz w:val="22"/>
          <w:szCs w:val="22"/>
        </w:rPr>
        <w:t xml:space="preserve">” is calculated as of </w:t>
      </w:r>
      <w:r w:rsidR="00961979" w:rsidRPr="00B6124D">
        <w:rPr>
          <w:rStyle w:val="DeltaViewDeletion"/>
          <w:strike w:val="0"/>
          <w:color w:val="auto"/>
          <w:sz w:val="22"/>
          <w:szCs w:val="22"/>
        </w:rPr>
        <w:t>immediately prior to the Liquidity Event,</w:t>
      </w:r>
      <w:r w:rsidR="00961979" w:rsidRPr="00B6124D">
        <w:rPr>
          <w:sz w:val="22"/>
          <w:szCs w:val="22"/>
        </w:rPr>
        <w:t xml:space="preserve"> and (without double- counting</w:t>
      </w:r>
      <w:r w:rsidR="00141AEC" w:rsidRPr="00B6124D">
        <w:rPr>
          <w:sz w:val="22"/>
          <w:szCs w:val="22"/>
        </w:rPr>
        <w:t>, in each case calculated on an as-converted to Common Stock basis</w:t>
      </w:r>
      <w:r w:rsidR="00961979" w:rsidRPr="00B6124D">
        <w:rPr>
          <w:sz w:val="22"/>
          <w:szCs w:val="22"/>
        </w:rPr>
        <w:t xml:space="preserve">): </w:t>
      </w:r>
    </w:p>
    <w:p w14:paraId="60D3C263" w14:textId="77777777" w:rsidR="00961979" w:rsidRPr="00B6124D" w:rsidRDefault="00961979" w:rsidP="00207809">
      <w:pPr>
        <w:pStyle w:val="ListParagraph"/>
        <w:numPr>
          <w:ilvl w:val="0"/>
          <w:numId w:val="23"/>
        </w:numPr>
        <w:spacing w:before="0" w:after="120"/>
        <w:ind w:left="851" w:firstLine="0"/>
        <w:contextualSpacing w:val="0"/>
        <w:jc w:val="both"/>
        <w:rPr>
          <w:rStyle w:val="DeltaViewDeletion"/>
          <w:strike w:val="0"/>
          <w:color w:val="000000"/>
          <w:sz w:val="22"/>
          <w:szCs w:val="22"/>
        </w:rPr>
      </w:pPr>
      <w:r w:rsidRPr="00B6124D">
        <w:rPr>
          <w:rStyle w:val="DeltaViewDeletion"/>
          <w:strike w:val="0"/>
          <w:color w:val="000000"/>
          <w:sz w:val="22"/>
          <w:szCs w:val="22"/>
        </w:rPr>
        <w:t>Includes all shares of Capital Stock issued and outstanding;</w:t>
      </w:r>
    </w:p>
    <w:p w14:paraId="36D52935" w14:textId="77777777" w:rsidR="00961979" w:rsidRPr="00B6124D" w:rsidRDefault="00961979" w:rsidP="00207809">
      <w:pPr>
        <w:pStyle w:val="ListParagraph"/>
        <w:numPr>
          <w:ilvl w:val="0"/>
          <w:numId w:val="23"/>
        </w:numPr>
        <w:spacing w:before="0" w:after="120"/>
        <w:ind w:left="851" w:firstLine="0"/>
        <w:contextualSpacing w:val="0"/>
        <w:jc w:val="both"/>
        <w:rPr>
          <w:rStyle w:val="DeltaViewDeletion"/>
          <w:strike w:val="0"/>
          <w:color w:val="000000"/>
          <w:sz w:val="22"/>
          <w:szCs w:val="22"/>
        </w:rPr>
      </w:pPr>
      <w:r w:rsidRPr="00B6124D">
        <w:rPr>
          <w:rStyle w:val="DeltaViewDeletion"/>
          <w:strike w:val="0"/>
          <w:color w:val="000000"/>
          <w:sz w:val="22"/>
          <w:szCs w:val="22"/>
        </w:rPr>
        <w:t>Includes all (i) issued and outstanding Options and (ii) to the extent receiving Proceeds, Promised Options;</w:t>
      </w:r>
    </w:p>
    <w:p w14:paraId="2A9A968B" w14:textId="77777777" w:rsidR="00553D96" w:rsidRPr="00B6124D" w:rsidRDefault="00961979" w:rsidP="00207809">
      <w:pPr>
        <w:pStyle w:val="ListParagraph"/>
        <w:numPr>
          <w:ilvl w:val="0"/>
          <w:numId w:val="23"/>
        </w:numPr>
        <w:spacing w:before="0" w:after="120"/>
        <w:ind w:left="851" w:firstLine="0"/>
        <w:contextualSpacing w:val="0"/>
        <w:jc w:val="both"/>
        <w:rPr>
          <w:color w:val="000000"/>
          <w:sz w:val="22"/>
          <w:szCs w:val="22"/>
        </w:rPr>
      </w:pPr>
      <w:r w:rsidRPr="00B6124D">
        <w:rPr>
          <w:rStyle w:val="DeltaViewDeletion"/>
          <w:strike w:val="0"/>
          <w:color w:val="000000"/>
          <w:sz w:val="22"/>
          <w:szCs w:val="22"/>
        </w:rPr>
        <w:t xml:space="preserve">Includes all Converting Securities, </w:t>
      </w:r>
      <w:r w:rsidRPr="00B6124D">
        <w:rPr>
          <w:rStyle w:val="DeltaViewDeletion"/>
          <w:b/>
          <w:strike w:val="0"/>
          <w:color w:val="000000"/>
          <w:sz w:val="22"/>
          <w:szCs w:val="22"/>
          <w:u w:val="single"/>
        </w:rPr>
        <w:t>other than</w:t>
      </w:r>
      <w:r w:rsidRPr="00B6124D">
        <w:rPr>
          <w:rStyle w:val="DeltaViewDeletion"/>
          <w:strike w:val="0"/>
          <w:color w:val="000000"/>
          <w:sz w:val="22"/>
          <w:szCs w:val="22"/>
        </w:rPr>
        <w:t xml:space="preserve"> </w:t>
      </w:r>
      <w:r w:rsidRPr="00B6124D">
        <w:rPr>
          <w:sz w:val="22"/>
          <w:szCs w:val="22"/>
        </w:rPr>
        <w:t>any Safes and other convertible securities (including without limitation shares of Preferred Stock) where the holders of such securities are receiving Cash-Out Amounts or similar liquidation preference payments in lieu of Conversion Amounts or similar “as-converted” payments</w:t>
      </w:r>
      <w:r w:rsidR="00437F28" w:rsidRPr="00B6124D">
        <w:rPr>
          <w:sz w:val="22"/>
          <w:szCs w:val="22"/>
        </w:rPr>
        <w:t>; and</w:t>
      </w:r>
    </w:p>
    <w:p w14:paraId="078E267F" w14:textId="77777777" w:rsidR="004514BE" w:rsidRPr="00B6124D" w:rsidRDefault="00961979" w:rsidP="00207809">
      <w:pPr>
        <w:pStyle w:val="ListParagraph"/>
        <w:numPr>
          <w:ilvl w:val="0"/>
          <w:numId w:val="23"/>
        </w:numPr>
        <w:spacing w:before="0" w:after="120"/>
        <w:ind w:left="0" w:firstLine="851"/>
        <w:contextualSpacing w:val="0"/>
        <w:jc w:val="both"/>
        <w:rPr>
          <w:color w:val="000000"/>
          <w:sz w:val="22"/>
          <w:szCs w:val="22"/>
        </w:rPr>
      </w:pPr>
      <w:r w:rsidRPr="00B6124D">
        <w:rPr>
          <w:rStyle w:val="DeltaViewDeletion"/>
          <w:strike w:val="0"/>
          <w:color w:val="000000"/>
          <w:sz w:val="22"/>
          <w:szCs w:val="22"/>
        </w:rPr>
        <w:lastRenderedPageBreak/>
        <w:t xml:space="preserve">Excludes </w:t>
      </w:r>
      <w:r w:rsidRPr="00B6124D">
        <w:rPr>
          <w:rStyle w:val="DeltaViewDeletion"/>
          <w:strike w:val="0"/>
          <w:color w:val="auto"/>
          <w:sz w:val="22"/>
          <w:szCs w:val="22"/>
        </w:rPr>
        <w:t>the Unissued Option Pool</w:t>
      </w:r>
      <w:r w:rsidR="004514BE" w:rsidRPr="00B6124D">
        <w:rPr>
          <w:rStyle w:val="DeltaViewDeletion"/>
          <w:strike w:val="0"/>
          <w:color w:val="auto"/>
          <w:sz w:val="22"/>
          <w:szCs w:val="22"/>
        </w:rPr>
        <w:t>.</w:t>
      </w:r>
    </w:p>
    <w:p w14:paraId="63E696EC" w14:textId="77777777" w:rsidR="00132B42" w:rsidRPr="00B6124D" w:rsidRDefault="004514BE" w:rsidP="00205B62">
      <w:pPr>
        <w:autoSpaceDE w:val="0"/>
        <w:autoSpaceDN w:val="0"/>
        <w:adjustRightInd w:val="0"/>
        <w:spacing w:before="0" w:after="120"/>
        <w:ind w:firstLine="0"/>
        <w:jc w:val="both"/>
        <w:rPr>
          <w:sz w:val="22"/>
          <w:szCs w:val="22"/>
        </w:rPr>
      </w:pPr>
      <w:r w:rsidRPr="00B6124D">
        <w:rPr>
          <w:sz w:val="22"/>
          <w:szCs w:val="22"/>
        </w:rPr>
        <w:tab/>
      </w:r>
      <w:r w:rsidR="00F43A4F" w:rsidRPr="00B6124D">
        <w:rPr>
          <w:sz w:val="22"/>
          <w:szCs w:val="22"/>
        </w:rPr>
        <w:t>“</w:t>
      </w:r>
      <w:r w:rsidR="00132B42" w:rsidRPr="00B6124D">
        <w:rPr>
          <w:b/>
          <w:sz w:val="22"/>
          <w:szCs w:val="22"/>
        </w:rPr>
        <w:t>Liquidity Event</w:t>
      </w:r>
      <w:r w:rsidR="00F43A4F" w:rsidRPr="00B6124D">
        <w:rPr>
          <w:sz w:val="22"/>
          <w:szCs w:val="22"/>
        </w:rPr>
        <w:t>”</w:t>
      </w:r>
      <w:r w:rsidR="00132B42" w:rsidRPr="00B6124D">
        <w:rPr>
          <w:sz w:val="22"/>
          <w:szCs w:val="22"/>
        </w:rPr>
        <w:t xml:space="preserve"> </w:t>
      </w:r>
      <w:r w:rsidR="00623E08" w:rsidRPr="00B6124D">
        <w:rPr>
          <w:sz w:val="22"/>
          <w:szCs w:val="22"/>
        </w:rPr>
        <w:t>means</w:t>
      </w:r>
      <w:r w:rsidR="00F43A4F" w:rsidRPr="00B6124D">
        <w:rPr>
          <w:sz w:val="22"/>
          <w:szCs w:val="22"/>
        </w:rPr>
        <w:t xml:space="preserve"> a Change of Control</w:t>
      </w:r>
      <w:r w:rsidR="007B32D0" w:rsidRPr="00B6124D">
        <w:rPr>
          <w:sz w:val="22"/>
          <w:szCs w:val="22"/>
        </w:rPr>
        <w:t>, a Direct Listing</w:t>
      </w:r>
      <w:r w:rsidR="00F43A4F" w:rsidRPr="00B6124D">
        <w:rPr>
          <w:sz w:val="22"/>
          <w:szCs w:val="22"/>
        </w:rPr>
        <w:t xml:space="preserve"> or an Initial Public Offering. </w:t>
      </w:r>
    </w:p>
    <w:p w14:paraId="2038D98B" w14:textId="77777777" w:rsidR="00C06593" w:rsidRPr="00B6124D" w:rsidRDefault="00B1343A" w:rsidP="00205B62">
      <w:pPr>
        <w:autoSpaceDE w:val="0"/>
        <w:autoSpaceDN w:val="0"/>
        <w:adjustRightInd w:val="0"/>
        <w:spacing w:before="0" w:after="120"/>
        <w:ind w:firstLine="0"/>
        <w:jc w:val="both"/>
        <w:rPr>
          <w:sz w:val="22"/>
          <w:szCs w:val="22"/>
        </w:rPr>
      </w:pPr>
      <w:r w:rsidRPr="00B6124D">
        <w:rPr>
          <w:sz w:val="22"/>
          <w:szCs w:val="22"/>
        </w:rPr>
        <w:tab/>
        <w:t>“</w:t>
      </w:r>
      <w:r w:rsidRPr="00B6124D">
        <w:rPr>
          <w:b/>
          <w:sz w:val="22"/>
          <w:szCs w:val="22"/>
        </w:rPr>
        <w:t>Liquidity Price</w:t>
      </w:r>
      <w:r w:rsidRPr="00B6124D">
        <w:rPr>
          <w:sz w:val="22"/>
          <w:szCs w:val="22"/>
        </w:rPr>
        <w:t xml:space="preserve">” </w:t>
      </w:r>
      <w:r w:rsidR="00BF04E9" w:rsidRPr="00B6124D">
        <w:rPr>
          <w:sz w:val="22"/>
          <w:szCs w:val="22"/>
        </w:rPr>
        <w:t xml:space="preserve">means the price per share equal to the </w:t>
      </w:r>
      <w:r w:rsidR="0040021D" w:rsidRPr="00B6124D">
        <w:rPr>
          <w:sz w:val="22"/>
          <w:szCs w:val="22"/>
        </w:rPr>
        <w:t>Post-M</w:t>
      </w:r>
      <w:r w:rsidR="00092136" w:rsidRPr="00B6124D">
        <w:rPr>
          <w:sz w:val="22"/>
          <w:szCs w:val="22"/>
        </w:rPr>
        <w:t>oney Valuation Cap</w:t>
      </w:r>
      <w:r w:rsidR="00BF04E9" w:rsidRPr="00B6124D">
        <w:rPr>
          <w:sz w:val="22"/>
          <w:szCs w:val="22"/>
        </w:rPr>
        <w:t xml:space="preserve"> divided by </w:t>
      </w:r>
      <w:r w:rsidR="00BF04E9" w:rsidRPr="00B6124D">
        <w:rPr>
          <w:rStyle w:val="DeltaViewDeletion"/>
          <w:strike w:val="0"/>
          <w:color w:val="auto"/>
          <w:sz w:val="22"/>
          <w:szCs w:val="22"/>
        </w:rPr>
        <w:t>the Liquidity Capitalization</w:t>
      </w:r>
      <w:r w:rsidRPr="00B6124D">
        <w:rPr>
          <w:sz w:val="22"/>
          <w:szCs w:val="22"/>
        </w:rPr>
        <w:t>.</w:t>
      </w:r>
      <w:r w:rsidR="00DA1BD1" w:rsidRPr="00B6124D">
        <w:rPr>
          <w:sz w:val="22"/>
          <w:szCs w:val="22"/>
        </w:rPr>
        <w:tab/>
      </w:r>
    </w:p>
    <w:p w14:paraId="3FFE5C00" w14:textId="77777777" w:rsidR="00F9604E" w:rsidRPr="00B6124D" w:rsidRDefault="00F9604E" w:rsidP="00205B62">
      <w:pPr>
        <w:autoSpaceDE w:val="0"/>
        <w:autoSpaceDN w:val="0"/>
        <w:adjustRightInd w:val="0"/>
        <w:spacing w:before="0" w:after="120"/>
        <w:ind w:firstLine="0"/>
        <w:jc w:val="both"/>
        <w:rPr>
          <w:sz w:val="22"/>
          <w:szCs w:val="22"/>
        </w:rPr>
      </w:pPr>
      <w:r w:rsidRPr="00B6124D">
        <w:rPr>
          <w:sz w:val="22"/>
          <w:szCs w:val="22"/>
        </w:rPr>
        <w:tab/>
        <w:t>“</w:t>
      </w:r>
      <w:r w:rsidRPr="00B6124D">
        <w:rPr>
          <w:b/>
          <w:sz w:val="22"/>
          <w:szCs w:val="22"/>
        </w:rPr>
        <w:t>Options</w:t>
      </w:r>
      <w:r w:rsidRPr="00B6124D">
        <w:rPr>
          <w:sz w:val="22"/>
          <w:szCs w:val="22"/>
        </w:rPr>
        <w:t>” includes options, restricted stock awards or purchases, RSUs, SARs, warrants or similar securities, vested or unvested.</w:t>
      </w:r>
    </w:p>
    <w:p w14:paraId="1C1C2FD0" w14:textId="77777777" w:rsidR="000E11D6" w:rsidRPr="00B6124D" w:rsidRDefault="000E11D6" w:rsidP="00207809">
      <w:pPr>
        <w:autoSpaceDE w:val="0"/>
        <w:autoSpaceDN w:val="0"/>
        <w:adjustRightInd w:val="0"/>
        <w:spacing w:before="0" w:after="120"/>
        <w:jc w:val="both"/>
        <w:rPr>
          <w:sz w:val="22"/>
          <w:szCs w:val="22"/>
        </w:rPr>
      </w:pPr>
      <w:r w:rsidRPr="00B6124D">
        <w:rPr>
          <w:sz w:val="22"/>
          <w:szCs w:val="22"/>
        </w:rPr>
        <w:t>“</w:t>
      </w:r>
      <w:r w:rsidRPr="00B6124D">
        <w:rPr>
          <w:b/>
          <w:sz w:val="22"/>
          <w:szCs w:val="22"/>
        </w:rPr>
        <w:t>Proceeds</w:t>
      </w:r>
      <w:r w:rsidRPr="00B6124D">
        <w:rPr>
          <w:sz w:val="22"/>
          <w:szCs w:val="22"/>
        </w:rPr>
        <w:t xml:space="preserve">” means cash and other assets (including without limitation stock consideration) that are proceeds from the Liquidity Event or the Dissolution Event, as applicable, and legally available for distribution.  </w:t>
      </w:r>
    </w:p>
    <w:p w14:paraId="006300CE" w14:textId="77777777" w:rsidR="00083A70" w:rsidRPr="00B6124D" w:rsidRDefault="00083A70" w:rsidP="00207809">
      <w:pPr>
        <w:autoSpaceDE w:val="0"/>
        <w:autoSpaceDN w:val="0"/>
        <w:adjustRightInd w:val="0"/>
        <w:spacing w:before="0" w:after="120"/>
        <w:jc w:val="both"/>
        <w:rPr>
          <w:sz w:val="22"/>
          <w:szCs w:val="22"/>
        </w:rPr>
      </w:pPr>
      <w:r w:rsidRPr="00B6124D">
        <w:rPr>
          <w:sz w:val="22"/>
          <w:szCs w:val="22"/>
        </w:rPr>
        <w:t>“</w:t>
      </w:r>
      <w:r w:rsidRPr="00B6124D">
        <w:rPr>
          <w:b/>
          <w:sz w:val="22"/>
          <w:szCs w:val="22"/>
        </w:rPr>
        <w:t>Promised Options</w:t>
      </w:r>
      <w:r w:rsidRPr="00B6124D">
        <w:rPr>
          <w:sz w:val="22"/>
          <w:szCs w:val="22"/>
        </w:rPr>
        <w:t xml:space="preserve">” means promised but ungranted </w:t>
      </w:r>
      <w:r w:rsidRPr="00B6124D">
        <w:rPr>
          <w:rStyle w:val="DeltaViewDeletion"/>
          <w:strike w:val="0"/>
          <w:color w:val="000000"/>
          <w:sz w:val="22"/>
          <w:szCs w:val="22"/>
        </w:rPr>
        <w:t xml:space="preserve">Options that are the greater of those (i) promised pursuant to agreements or understandings made prior to the execution of, or in connection with, the term sheet </w:t>
      </w:r>
      <w:r w:rsidR="00141AEC" w:rsidRPr="00B6124D">
        <w:rPr>
          <w:rStyle w:val="DeltaViewDeletion"/>
          <w:strike w:val="0"/>
          <w:color w:val="000000"/>
          <w:sz w:val="22"/>
          <w:szCs w:val="22"/>
        </w:rPr>
        <w:t xml:space="preserve">or letter of intent </w:t>
      </w:r>
      <w:r w:rsidRPr="00B6124D">
        <w:rPr>
          <w:rStyle w:val="DeltaViewDeletion"/>
          <w:strike w:val="0"/>
          <w:color w:val="000000"/>
          <w:sz w:val="22"/>
          <w:szCs w:val="22"/>
        </w:rPr>
        <w:t xml:space="preserve">for the Equity Financing </w:t>
      </w:r>
      <w:r w:rsidR="00141AEC" w:rsidRPr="00B6124D">
        <w:rPr>
          <w:rStyle w:val="DeltaViewDeletion"/>
          <w:strike w:val="0"/>
          <w:color w:val="000000"/>
          <w:sz w:val="22"/>
          <w:szCs w:val="22"/>
        </w:rPr>
        <w:t xml:space="preserve">or Liquidity Event, as applicable </w:t>
      </w:r>
      <w:r w:rsidRPr="00B6124D">
        <w:rPr>
          <w:rStyle w:val="DeltaViewDeletion"/>
          <w:strike w:val="0"/>
          <w:color w:val="000000"/>
          <w:sz w:val="22"/>
          <w:szCs w:val="22"/>
        </w:rPr>
        <w:t>(or the initial closing of the Equity Financing</w:t>
      </w:r>
      <w:r w:rsidR="00141AEC" w:rsidRPr="00B6124D">
        <w:rPr>
          <w:rStyle w:val="DeltaViewDeletion"/>
          <w:strike w:val="0"/>
          <w:color w:val="000000"/>
          <w:sz w:val="22"/>
          <w:szCs w:val="22"/>
        </w:rPr>
        <w:t xml:space="preserve"> or consummation of the Liquidity Event</w:t>
      </w:r>
      <w:r w:rsidRPr="00B6124D">
        <w:rPr>
          <w:rStyle w:val="DeltaViewDeletion"/>
          <w:strike w:val="0"/>
          <w:color w:val="000000"/>
          <w:sz w:val="22"/>
          <w:szCs w:val="22"/>
        </w:rPr>
        <w:t>, if there is no term sheet</w:t>
      </w:r>
      <w:r w:rsidR="00141AEC" w:rsidRPr="00B6124D">
        <w:rPr>
          <w:rStyle w:val="DeltaViewDeletion"/>
          <w:strike w:val="0"/>
          <w:color w:val="000000"/>
          <w:sz w:val="22"/>
          <w:szCs w:val="22"/>
        </w:rPr>
        <w:t xml:space="preserve"> or letter of intent</w:t>
      </w:r>
      <w:r w:rsidRPr="00B6124D">
        <w:rPr>
          <w:rStyle w:val="DeltaViewDeletion"/>
          <w:strike w:val="0"/>
          <w:color w:val="000000"/>
          <w:sz w:val="22"/>
          <w:szCs w:val="22"/>
        </w:rPr>
        <w:t xml:space="preserve">), (ii) </w:t>
      </w:r>
      <w:r w:rsidR="00141AEC" w:rsidRPr="00B6124D">
        <w:rPr>
          <w:rStyle w:val="DeltaViewDeletion"/>
          <w:strike w:val="0"/>
          <w:color w:val="000000"/>
          <w:sz w:val="22"/>
          <w:szCs w:val="22"/>
        </w:rPr>
        <w:t xml:space="preserve">in the case of an Equity Financing, </w:t>
      </w:r>
      <w:r w:rsidRPr="00B6124D">
        <w:rPr>
          <w:rStyle w:val="DeltaViewDeletion"/>
          <w:strike w:val="0"/>
          <w:color w:val="000000"/>
          <w:sz w:val="22"/>
          <w:szCs w:val="22"/>
        </w:rPr>
        <w:t>treated as outstanding Options in the calculation of the Standard Preferred Stock’s price per share</w:t>
      </w:r>
      <w:r w:rsidR="00141AEC" w:rsidRPr="00B6124D">
        <w:rPr>
          <w:rStyle w:val="DeltaViewDeletion"/>
          <w:strike w:val="0"/>
          <w:color w:val="000000"/>
          <w:sz w:val="22"/>
          <w:szCs w:val="22"/>
        </w:rPr>
        <w:t>, or (iii) in the case of a Liquidity Event, treated as outstanding Options in the calculation of the distribution of the Proceeds</w:t>
      </w:r>
      <w:r w:rsidRPr="00B6124D">
        <w:rPr>
          <w:rStyle w:val="DeltaViewDeletion"/>
          <w:strike w:val="0"/>
          <w:color w:val="000000"/>
          <w:sz w:val="22"/>
          <w:szCs w:val="22"/>
        </w:rPr>
        <w:t>.</w:t>
      </w:r>
    </w:p>
    <w:p w14:paraId="712281D3" w14:textId="77777777" w:rsidR="006D30BF" w:rsidRPr="00B6124D" w:rsidRDefault="008B11F2" w:rsidP="00205B62">
      <w:pPr>
        <w:autoSpaceDE w:val="0"/>
        <w:autoSpaceDN w:val="0"/>
        <w:adjustRightInd w:val="0"/>
        <w:spacing w:before="0" w:after="120"/>
        <w:ind w:firstLine="0"/>
        <w:jc w:val="both"/>
        <w:rPr>
          <w:sz w:val="22"/>
          <w:szCs w:val="22"/>
        </w:rPr>
      </w:pPr>
      <w:r w:rsidRPr="00B6124D">
        <w:rPr>
          <w:sz w:val="22"/>
          <w:szCs w:val="22"/>
        </w:rPr>
        <w:tab/>
        <w:t xml:space="preserve"> </w:t>
      </w:r>
      <w:r w:rsidR="006D30BF" w:rsidRPr="00B6124D">
        <w:rPr>
          <w:sz w:val="22"/>
          <w:szCs w:val="22"/>
        </w:rPr>
        <w:t>“</w:t>
      </w:r>
      <w:r w:rsidR="002A1851" w:rsidRPr="00B6124D">
        <w:rPr>
          <w:b/>
          <w:sz w:val="22"/>
          <w:szCs w:val="22"/>
        </w:rPr>
        <w:t>Safe</w:t>
      </w:r>
      <w:r w:rsidR="006D30BF" w:rsidRPr="00B6124D">
        <w:rPr>
          <w:sz w:val="22"/>
          <w:szCs w:val="22"/>
        </w:rPr>
        <w:t xml:space="preserve">” </w:t>
      </w:r>
      <w:r w:rsidR="001E746A" w:rsidRPr="00B6124D">
        <w:rPr>
          <w:sz w:val="22"/>
          <w:szCs w:val="22"/>
        </w:rPr>
        <w:t>means an instrument containing a future right to shares of Capital Stock, similar in form and content to this instrument, purchased by investors for the purpose of funding the Company’s business operations</w:t>
      </w:r>
      <w:r w:rsidR="006D30BF" w:rsidRPr="00B6124D">
        <w:rPr>
          <w:sz w:val="22"/>
          <w:szCs w:val="22"/>
        </w:rPr>
        <w:t>.</w:t>
      </w:r>
      <w:r w:rsidR="00676F84" w:rsidRPr="00B6124D">
        <w:rPr>
          <w:sz w:val="22"/>
          <w:szCs w:val="22"/>
        </w:rPr>
        <w:t xml:space="preserve">  References to “this Safe” mean this</w:t>
      </w:r>
      <w:r w:rsidR="00A77F80" w:rsidRPr="00B6124D">
        <w:rPr>
          <w:sz w:val="22"/>
          <w:szCs w:val="22"/>
        </w:rPr>
        <w:t xml:space="preserve"> specific</w:t>
      </w:r>
      <w:r w:rsidR="00676F84" w:rsidRPr="00B6124D">
        <w:rPr>
          <w:sz w:val="22"/>
          <w:szCs w:val="22"/>
        </w:rPr>
        <w:t xml:space="preserve"> instrument.</w:t>
      </w:r>
    </w:p>
    <w:p w14:paraId="53DB7530" w14:textId="362E5344" w:rsidR="00496041" w:rsidRPr="00B6124D" w:rsidRDefault="00496041" w:rsidP="00205B62">
      <w:pPr>
        <w:autoSpaceDE w:val="0"/>
        <w:autoSpaceDN w:val="0"/>
        <w:adjustRightInd w:val="0"/>
        <w:spacing w:before="0" w:after="120"/>
        <w:ind w:firstLine="0"/>
        <w:jc w:val="both"/>
        <w:rPr>
          <w:sz w:val="22"/>
          <w:szCs w:val="22"/>
        </w:rPr>
      </w:pPr>
      <w:r w:rsidRPr="00B6124D">
        <w:rPr>
          <w:sz w:val="22"/>
          <w:szCs w:val="22"/>
        </w:rPr>
        <w:tab/>
        <w:t>“</w:t>
      </w:r>
      <w:r w:rsidR="002A1851" w:rsidRPr="00B6124D">
        <w:rPr>
          <w:b/>
          <w:sz w:val="22"/>
          <w:szCs w:val="22"/>
        </w:rPr>
        <w:t>Safe</w:t>
      </w:r>
      <w:r w:rsidRPr="00B6124D">
        <w:rPr>
          <w:sz w:val="22"/>
          <w:szCs w:val="22"/>
        </w:rPr>
        <w:t xml:space="preserve"> </w:t>
      </w:r>
      <w:r w:rsidRPr="00B6124D">
        <w:rPr>
          <w:b/>
          <w:sz w:val="22"/>
          <w:szCs w:val="22"/>
        </w:rPr>
        <w:t>Preferred Stock</w:t>
      </w:r>
      <w:r w:rsidRPr="00B6124D">
        <w:rPr>
          <w:sz w:val="22"/>
          <w:szCs w:val="22"/>
        </w:rPr>
        <w:t xml:space="preserve">” </w:t>
      </w:r>
      <w:r w:rsidR="002A1851" w:rsidRPr="00B6124D">
        <w:rPr>
          <w:sz w:val="22"/>
          <w:szCs w:val="22"/>
        </w:rPr>
        <w:t xml:space="preserve">means the shares of </w:t>
      </w:r>
      <w:r w:rsidR="0000434F" w:rsidRPr="00B6124D">
        <w:rPr>
          <w:sz w:val="22"/>
          <w:szCs w:val="22"/>
        </w:rPr>
        <w:t>the</w:t>
      </w:r>
      <w:r>
        <w:rPr>
          <w:sz w:val="22"/>
          <w:szCs w:val="22"/>
        </w:rPr>
        <w:t xml:space="preserve"> series of Preferred Stock issued to the Investor in an Equity Financing, having the identical rights, privileges, preferences, seniority, liquidation multiple and restrictions as the shares of Standard Preferred Stock, except that any price-based preferences (such as the per share liquidation amount,</w:t>
      </w:r>
      <w:r w:rsidR="00503858" w:rsidRPr="00B6124D">
        <w:rPr>
          <w:sz w:val="22"/>
          <w:szCs w:val="22"/>
        </w:rPr>
        <w:t xml:space="preserve"> initial</w:t>
      </w:r>
      <w:r>
        <w:rPr>
          <w:sz w:val="22"/>
          <w:szCs w:val="22"/>
        </w:rPr>
        <w:t xml:space="preserve"> conversion price and per share dividend amount) will be based on the Safe</w:t>
      </w:r>
      <w:r w:rsidR="002A1851" w:rsidRPr="00B6124D">
        <w:rPr>
          <w:sz w:val="22"/>
          <w:szCs w:val="22"/>
        </w:rPr>
        <w:t xml:space="preserve"> Price</w:t>
      </w:r>
      <w:r w:rsidR="00897C2A" w:rsidRPr="00B6124D">
        <w:rPr>
          <w:sz w:val="22"/>
          <w:szCs w:val="22"/>
        </w:rPr>
        <w:t>.</w:t>
      </w:r>
    </w:p>
    <w:p w14:paraId="252B8C21" w14:textId="77777777" w:rsidR="00496041" w:rsidRPr="00B6124D" w:rsidRDefault="00496041" w:rsidP="00205B62">
      <w:pPr>
        <w:autoSpaceDE w:val="0"/>
        <w:autoSpaceDN w:val="0"/>
        <w:adjustRightInd w:val="0"/>
        <w:spacing w:before="0" w:after="120"/>
        <w:ind w:firstLine="0"/>
        <w:jc w:val="both"/>
        <w:rPr>
          <w:sz w:val="22"/>
          <w:szCs w:val="22"/>
        </w:rPr>
      </w:pPr>
      <w:r w:rsidRPr="00B6124D">
        <w:rPr>
          <w:sz w:val="22"/>
          <w:szCs w:val="22"/>
        </w:rPr>
        <w:tab/>
        <w:t>“</w:t>
      </w:r>
      <w:r w:rsidR="00C92120" w:rsidRPr="00B6124D">
        <w:rPr>
          <w:b/>
          <w:sz w:val="22"/>
          <w:szCs w:val="22"/>
        </w:rPr>
        <w:t>Safe</w:t>
      </w:r>
      <w:r w:rsidRPr="00B6124D">
        <w:rPr>
          <w:b/>
          <w:sz w:val="22"/>
          <w:szCs w:val="22"/>
        </w:rPr>
        <w:t xml:space="preserve"> Price</w:t>
      </w:r>
      <w:r w:rsidRPr="00B6124D">
        <w:rPr>
          <w:sz w:val="22"/>
          <w:szCs w:val="22"/>
        </w:rPr>
        <w:t xml:space="preserve">” </w:t>
      </w:r>
      <w:r w:rsidR="00C92120" w:rsidRPr="00B6124D">
        <w:rPr>
          <w:sz w:val="22"/>
          <w:szCs w:val="22"/>
        </w:rPr>
        <w:t xml:space="preserve">means the price per share equal to </w:t>
      </w:r>
      <w:bookmarkStart w:id="1" w:name="_DV_C50"/>
      <w:r w:rsidR="00C92120" w:rsidRPr="00B6124D">
        <w:rPr>
          <w:rStyle w:val="DeltaViewDeletion"/>
          <w:strike w:val="0"/>
          <w:color w:val="auto"/>
          <w:sz w:val="22"/>
          <w:szCs w:val="22"/>
        </w:rPr>
        <w:t xml:space="preserve">the </w:t>
      </w:r>
      <w:r w:rsidR="00092136" w:rsidRPr="00B6124D">
        <w:rPr>
          <w:rStyle w:val="DeltaViewDeletion"/>
          <w:strike w:val="0"/>
          <w:color w:val="auto"/>
          <w:sz w:val="22"/>
          <w:szCs w:val="22"/>
        </w:rPr>
        <w:t>Post</w:t>
      </w:r>
      <w:r w:rsidR="0026533E" w:rsidRPr="00B6124D">
        <w:rPr>
          <w:rStyle w:val="DeltaViewDeletion"/>
          <w:strike w:val="0"/>
          <w:color w:val="auto"/>
          <w:sz w:val="22"/>
          <w:szCs w:val="22"/>
        </w:rPr>
        <w:t>-M</w:t>
      </w:r>
      <w:r w:rsidR="00092136" w:rsidRPr="00B6124D">
        <w:rPr>
          <w:rStyle w:val="DeltaViewDeletion"/>
          <w:strike w:val="0"/>
          <w:color w:val="auto"/>
          <w:sz w:val="22"/>
          <w:szCs w:val="22"/>
        </w:rPr>
        <w:t>oney Valuation Cap</w:t>
      </w:r>
      <w:r w:rsidR="00C92120" w:rsidRPr="00B6124D">
        <w:rPr>
          <w:sz w:val="22"/>
          <w:szCs w:val="22"/>
        </w:rPr>
        <w:t xml:space="preserve"> divided </w:t>
      </w:r>
      <w:r w:rsidR="00C92120" w:rsidRPr="00B6124D">
        <w:rPr>
          <w:rStyle w:val="DeltaViewDeletion"/>
          <w:strike w:val="0"/>
          <w:color w:val="auto"/>
          <w:sz w:val="22"/>
          <w:szCs w:val="22"/>
        </w:rPr>
        <w:t>by the Company Capitalization</w:t>
      </w:r>
      <w:bookmarkEnd w:id="1"/>
      <w:r w:rsidRPr="00B6124D">
        <w:rPr>
          <w:sz w:val="22"/>
          <w:szCs w:val="22"/>
        </w:rPr>
        <w:t>.</w:t>
      </w:r>
    </w:p>
    <w:p w14:paraId="12AB91BA" w14:textId="77777777" w:rsidR="0079399C" w:rsidRPr="00B6124D" w:rsidRDefault="000832E9" w:rsidP="00205B62">
      <w:pPr>
        <w:autoSpaceDE w:val="0"/>
        <w:autoSpaceDN w:val="0"/>
        <w:adjustRightInd w:val="0"/>
        <w:spacing w:before="0" w:after="120"/>
        <w:ind w:firstLine="0"/>
        <w:jc w:val="both"/>
        <w:rPr>
          <w:sz w:val="22"/>
          <w:szCs w:val="22"/>
        </w:rPr>
      </w:pPr>
      <w:r w:rsidRPr="00B6124D">
        <w:rPr>
          <w:sz w:val="22"/>
          <w:szCs w:val="22"/>
        </w:rPr>
        <w:tab/>
        <w:t>“S</w:t>
      </w:r>
      <w:r w:rsidRPr="00B6124D">
        <w:rPr>
          <w:b/>
          <w:sz w:val="22"/>
          <w:szCs w:val="22"/>
        </w:rPr>
        <w:t>tandard Preferred Stock</w:t>
      </w:r>
      <w:r w:rsidRPr="00B6124D">
        <w:rPr>
          <w:sz w:val="22"/>
          <w:szCs w:val="22"/>
        </w:rPr>
        <w:t xml:space="preserve">” </w:t>
      </w:r>
      <w:r w:rsidR="00487CEB" w:rsidRPr="00B6124D">
        <w:rPr>
          <w:sz w:val="22"/>
          <w:szCs w:val="22"/>
        </w:rPr>
        <w:t xml:space="preserve">means the shares of the </w:t>
      </w:r>
      <w:r w:rsidR="00EC771F" w:rsidRPr="00B6124D">
        <w:rPr>
          <w:sz w:val="22"/>
          <w:szCs w:val="22"/>
        </w:rPr>
        <w:t>series of Preferred Stock issued to the investors investing new money in the Company in connection with the initial closing of the Equity Financing</w:t>
      </w:r>
      <w:r w:rsidRPr="00B6124D">
        <w:rPr>
          <w:sz w:val="22"/>
          <w:szCs w:val="22"/>
        </w:rPr>
        <w:t>.</w:t>
      </w:r>
    </w:p>
    <w:p w14:paraId="5B0247D6" w14:textId="77777777" w:rsidR="006C0834" w:rsidRPr="00B6124D" w:rsidRDefault="006C0834" w:rsidP="00205B62">
      <w:pPr>
        <w:autoSpaceDE w:val="0"/>
        <w:autoSpaceDN w:val="0"/>
        <w:adjustRightInd w:val="0"/>
        <w:spacing w:before="0" w:after="120"/>
        <w:ind w:firstLine="0"/>
        <w:jc w:val="both"/>
        <w:rPr>
          <w:rStyle w:val="DeltaViewDeletion"/>
          <w:strike w:val="0"/>
          <w:color w:val="000000"/>
          <w:sz w:val="22"/>
          <w:szCs w:val="22"/>
        </w:rPr>
      </w:pPr>
      <w:r w:rsidRPr="00B6124D">
        <w:rPr>
          <w:sz w:val="22"/>
          <w:szCs w:val="22"/>
        </w:rPr>
        <w:tab/>
        <w:t>“</w:t>
      </w:r>
      <w:r w:rsidRPr="00B6124D">
        <w:rPr>
          <w:b/>
          <w:sz w:val="22"/>
          <w:szCs w:val="22"/>
        </w:rPr>
        <w:t>Unissued Option Pool</w:t>
      </w:r>
      <w:r w:rsidRPr="00B6124D">
        <w:rPr>
          <w:sz w:val="22"/>
          <w:szCs w:val="22"/>
        </w:rPr>
        <w:t xml:space="preserve">” means </w:t>
      </w:r>
      <w:r w:rsidRPr="00B6124D">
        <w:rPr>
          <w:rStyle w:val="DeltaViewDeletion"/>
          <w:strike w:val="0"/>
          <w:color w:val="000000"/>
          <w:sz w:val="22"/>
          <w:szCs w:val="22"/>
        </w:rPr>
        <w:t>all shares of Capital Stock that are reserved, available for future grant and not subject to any outstanding Options or Promised Options (but in the case of a Liquidity Event, only to the extent Proceeds are payable on such Promised Options) under any equity incentive or similar Company plan.</w:t>
      </w:r>
    </w:p>
    <w:p w14:paraId="102670ED" w14:textId="77777777" w:rsidR="00E23215" w:rsidRPr="00B6124D" w:rsidRDefault="001D7B14" w:rsidP="00205B62">
      <w:pPr>
        <w:autoSpaceDE w:val="0"/>
        <w:autoSpaceDN w:val="0"/>
        <w:adjustRightInd w:val="0"/>
        <w:spacing w:before="0" w:after="120"/>
        <w:ind w:firstLine="0"/>
        <w:jc w:val="both"/>
        <w:rPr>
          <w:b/>
          <w:i/>
          <w:sz w:val="22"/>
          <w:szCs w:val="22"/>
        </w:rPr>
      </w:pPr>
      <w:r w:rsidRPr="00B6124D">
        <w:rPr>
          <w:sz w:val="22"/>
          <w:szCs w:val="22"/>
        </w:rPr>
        <w:t xml:space="preserve"> </w:t>
      </w:r>
      <w:r w:rsidR="00D00425" w:rsidRPr="00B6124D">
        <w:rPr>
          <w:sz w:val="22"/>
          <w:szCs w:val="22"/>
        </w:rPr>
        <w:t>3.</w:t>
      </w:r>
      <w:r w:rsidR="00412847" w:rsidRPr="00B6124D">
        <w:rPr>
          <w:sz w:val="22"/>
          <w:szCs w:val="22"/>
        </w:rPr>
        <w:tab/>
      </w:r>
      <w:r w:rsidR="00D00425" w:rsidRPr="00B6124D">
        <w:rPr>
          <w:b/>
          <w:i/>
          <w:sz w:val="22"/>
          <w:szCs w:val="22"/>
        </w:rPr>
        <w:t>Company Representations</w:t>
      </w:r>
    </w:p>
    <w:p w14:paraId="2DC6F656" w14:textId="77777777" w:rsidR="00D00425" w:rsidRPr="00B6124D" w:rsidRDefault="00D00425" w:rsidP="00205B62">
      <w:pPr>
        <w:autoSpaceDE w:val="0"/>
        <w:autoSpaceDN w:val="0"/>
        <w:adjustRightInd w:val="0"/>
        <w:spacing w:before="0" w:after="120"/>
        <w:ind w:firstLine="0"/>
        <w:jc w:val="both"/>
        <w:rPr>
          <w:sz w:val="22"/>
          <w:szCs w:val="22"/>
        </w:rPr>
      </w:pPr>
      <w:r w:rsidRPr="00B6124D">
        <w:rPr>
          <w:sz w:val="22"/>
          <w:szCs w:val="22"/>
        </w:rPr>
        <w:tab/>
        <w:t>(a)</w:t>
      </w:r>
      <w:r w:rsidRPr="00B6124D">
        <w:rPr>
          <w:sz w:val="22"/>
          <w:szCs w:val="22"/>
        </w:rPr>
        <w:tab/>
        <w:t xml:space="preserve">The Company is a corporation duly organized </w:t>
      </w:r>
      <w:r w:rsidR="0067156D" w:rsidRPr="00B6124D">
        <w:rPr>
          <w:sz w:val="22"/>
          <w:szCs w:val="22"/>
        </w:rPr>
        <w:t xml:space="preserve">and </w:t>
      </w:r>
      <w:r w:rsidRPr="00B6124D">
        <w:rPr>
          <w:sz w:val="22"/>
          <w:szCs w:val="22"/>
        </w:rPr>
        <w:t xml:space="preserve">validly existing under the laws of </w:t>
      </w:r>
      <w:r w:rsidR="00EB63BD" w:rsidRPr="00B6124D">
        <w:rPr>
          <w:sz w:val="22"/>
          <w:szCs w:val="22"/>
        </w:rPr>
        <w:t>its</w:t>
      </w:r>
      <w:r w:rsidRPr="00B6124D">
        <w:rPr>
          <w:sz w:val="22"/>
          <w:szCs w:val="22"/>
        </w:rPr>
        <w:t xml:space="preserve"> </w:t>
      </w:r>
      <w:r w:rsidR="0067156D" w:rsidRPr="00B6124D">
        <w:rPr>
          <w:sz w:val="22"/>
          <w:szCs w:val="22"/>
        </w:rPr>
        <w:t xml:space="preserve">country </w:t>
      </w:r>
      <w:r w:rsidRPr="00B6124D">
        <w:rPr>
          <w:sz w:val="22"/>
          <w:szCs w:val="22"/>
        </w:rPr>
        <w:t>of incorporation, and has the power and authority to own, lease and operate its properties and carry on its business as now conducted.</w:t>
      </w:r>
    </w:p>
    <w:p w14:paraId="44E50A99" w14:textId="77777777" w:rsidR="003D010D" w:rsidRPr="00B6124D" w:rsidRDefault="003D010D" w:rsidP="00205B62">
      <w:pPr>
        <w:autoSpaceDE w:val="0"/>
        <w:autoSpaceDN w:val="0"/>
        <w:adjustRightInd w:val="0"/>
        <w:spacing w:before="0" w:after="120"/>
        <w:ind w:firstLine="0"/>
        <w:jc w:val="both"/>
        <w:rPr>
          <w:sz w:val="22"/>
          <w:szCs w:val="22"/>
        </w:rPr>
      </w:pPr>
      <w:r w:rsidRPr="00B6124D">
        <w:rPr>
          <w:sz w:val="22"/>
          <w:szCs w:val="22"/>
        </w:rPr>
        <w:tab/>
        <w:t>(b)</w:t>
      </w:r>
      <w:r w:rsidRPr="00B6124D">
        <w:rPr>
          <w:sz w:val="22"/>
          <w:szCs w:val="22"/>
        </w:rPr>
        <w:tab/>
      </w:r>
      <w:r w:rsidR="00F51487" w:rsidRPr="00B6124D">
        <w:rPr>
          <w:sz w:val="22"/>
          <w:szCs w:val="22"/>
        </w:rPr>
        <w:t xml:space="preserve">The execution, delivery and performance by the Company of this Safe is within the power of the Company and has been duly authorized by all necessary actions on the part of the Company (subject to section 3(d)). This Safe constitutes a legal, valid and binding obligation of the Company, enforceable against the Company in accordance with its terms, except as limited by bankruptcy, insolvency or other laws of general application relating to or affecting the enforcement of creditors’ rights generally and general principles of equity.  To its knowledge, the Company is not in violation of (i) its current </w:t>
      </w:r>
      <w:r w:rsidR="00AA27F9" w:rsidRPr="00B6124D">
        <w:rPr>
          <w:sz w:val="22"/>
          <w:szCs w:val="22"/>
        </w:rPr>
        <w:t>articles of association</w:t>
      </w:r>
      <w:r w:rsidR="00F51487" w:rsidRPr="00B6124D">
        <w:rPr>
          <w:sz w:val="22"/>
          <w:szCs w:val="22"/>
        </w:rPr>
        <w:t>, (ii) any material statute, rule or regulation applicable to the Company or (iii) any material debt or contract to which the Company is a party or by which it is bound, where, in each case, such violation or default, individually, or together with all such violations or defaults, could reasonably be expected to have a material adverse effect on the Company</w:t>
      </w:r>
      <w:r w:rsidRPr="00B6124D">
        <w:rPr>
          <w:sz w:val="22"/>
          <w:szCs w:val="22"/>
        </w:rPr>
        <w:t>.</w:t>
      </w:r>
    </w:p>
    <w:p w14:paraId="21D462C1" w14:textId="77777777" w:rsidR="003D010D" w:rsidRPr="00B6124D" w:rsidRDefault="00B3631B" w:rsidP="00205B62">
      <w:pPr>
        <w:autoSpaceDE w:val="0"/>
        <w:autoSpaceDN w:val="0"/>
        <w:adjustRightInd w:val="0"/>
        <w:spacing w:before="0" w:after="120"/>
        <w:ind w:firstLine="0"/>
        <w:jc w:val="both"/>
        <w:rPr>
          <w:sz w:val="22"/>
          <w:szCs w:val="22"/>
        </w:rPr>
      </w:pPr>
      <w:r w:rsidRPr="00B6124D">
        <w:rPr>
          <w:sz w:val="22"/>
          <w:szCs w:val="22"/>
        </w:rPr>
        <w:tab/>
      </w:r>
      <w:r w:rsidR="003D010D" w:rsidRPr="00B6124D">
        <w:rPr>
          <w:sz w:val="22"/>
          <w:szCs w:val="22"/>
        </w:rPr>
        <w:t>(c)</w:t>
      </w:r>
      <w:r w:rsidR="003D010D" w:rsidRPr="00B6124D">
        <w:rPr>
          <w:sz w:val="22"/>
          <w:szCs w:val="22"/>
        </w:rPr>
        <w:tab/>
      </w:r>
      <w:r w:rsidR="00973BBD" w:rsidRPr="00B6124D">
        <w:rPr>
          <w:sz w:val="22"/>
          <w:szCs w:val="22"/>
        </w:rPr>
        <w:t xml:space="preserve">The performance and consummation of the transactions contemplated by this Safe do not and will not: (i) violate any material judgment, statute, rule or regulation applicable to the Company; (ii) result in </w:t>
      </w:r>
      <w:r w:rsidR="00973BBD" w:rsidRPr="00B6124D">
        <w:rPr>
          <w:sz w:val="22"/>
          <w:szCs w:val="22"/>
        </w:rPr>
        <w:lastRenderedPageBreak/>
        <w:t>the acceleration of any material debt or contract to which the Company is a party or by which it is bound; or (iii) result in the creation or imposition of any lien on any property, asset or revenue of the Company or the suspension, forfeiture, or nonrenewal of any material permit, license or authorization applicable to the Company, its business or operations</w:t>
      </w:r>
      <w:r w:rsidR="003D010D" w:rsidRPr="00B6124D">
        <w:rPr>
          <w:sz w:val="22"/>
          <w:szCs w:val="22"/>
        </w:rPr>
        <w:t>.</w:t>
      </w:r>
    </w:p>
    <w:p w14:paraId="6BDD516A" w14:textId="77777777" w:rsidR="003D010D" w:rsidRPr="00B6124D" w:rsidRDefault="00B3631B" w:rsidP="00205B62">
      <w:pPr>
        <w:autoSpaceDE w:val="0"/>
        <w:autoSpaceDN w:val="0"/>
        <w:adjustRightInd w:val="0"/>
        <w:spacing w:before="0" w:after="120"/>
        <w:ind w:firstLine="0"/>
        <w:jc w:val="both"/>
        <w:rPr>
          <w:sz w:val="22"/>
          <w:szCs w:val="22"/>
        </w:rPr>
      </w:pPr>
      <w:r w:rsidRPr="00B6124D">
        <w:rPr>
          <w:sz w:val="22"/>
          <w:szCs w:val="22"/>
        </w:rPr>
        <w:tab/>
      </w:r>
      <w:r w:rsidR="003D010D" w:rsidRPr="00B6124D">
        <w:rPr>
          <w:sz w:val="22"/>
          <w:szCs w:val="22"/>
        </w:rPr>
        <w:t>(d)</w:t>
      </w:r>
      <w:r w:rsidR="003D010D" w:rsidRPr="00B6124D">
        <w:rPr>
          <w:sz w:val="22"/>
          <w:szCs w:val="22"/>
        </w:rPr>
        <w:tab/>
        <w:t xml:space="preserve">No consents or approvals are required in connection with the performance of </w:t>
      </w:r>
      <w:r w:rsidR="00CF66F8" w:rsidRPr="00B6124D">
        <w:rPr>
          <w:sz w:val="22"/>
          <w:szCs w:val="22"/>
        </w:rPr>
        <w:t xml:space="preserve">this </w:t>
      </w:r>
      <w:r w:rsidR="00ED536F" w:rsidRPr="00B6124D">
        <w:rPr>
          <w:sz w:val="22"/>
          <w:szCs w:val="22"/>
        </w:rPr>
        <w:t>Safe</w:t>
      </w:r>
      <w:r w:rsidR="003D010D" w:rsidRPr="00B6124D">
        <w:rPr>
          <w:sz w:val="22"/>
          <w:szCs w:val="22"/>
        </w:rPr>
        <w:t>, other than: (i) the Company’s corporate approvals; (ii) any qualifications or filings under applicable securities laws</w:t>
      </w:r>
      <w:r w:rsidR="00AA27F9" w:rsidRPr="00B6124D">
        <w:rPr>
          <w:sz w:val="22"/>
          <w:szCs w:val="22"/>
        </w:rPr>
        <w:t xml:space="preserve"> (to the extent applicable)</w:t>
      </w:r>
      <w:r w:rsidR="003D010D" w:rsidRPr="00B6124D">
        <w:rPr>
          <w:sz w:val="22"/>
          <w:szCs w:val="22"/>
        </w:rPr>
        <w:t xml:space="preserve">; and (iii) necessary corporate approvals for the authorization of </w:t>
      </w:r>
      <w:r w:rsidR="0056519B" w:rsidRPr="00B6124D">
        <w:rPr>
          <w:sz w:val="22"/>
          <w:szCs w:val="22"/>
        </w:rPr>
        <w:t>Capital S</w:t>
      </w:r>
      <w:r w:rsidR="00CF66F8" w:rsidRPr="00B6124D">
        <w:rPr>
          <w:sz w:val="22"/>
          <w:szCs w:val="22"/>
        </w:rPr>
        <w:t>tock</w:t>
      </w:r>
      <w:r w:rsidR="003D010D" w:rsidRPr="00B6124D">
        <w:rPr>
          <w:sz w:val="22"/>
          <w:szCs w:val="22"/>
        </w:rPr>
        <w:t xml:space="preserve"> </w:t>
      </w:r>
      <w:r w:rsidR="009E2647" w:rsidRPr="00B6124D">
        <w:rPr>
          <w:sz w:val="22"/>
          <w:szCs w:val="22"/>
        </w:rPr>
        <w:t>issuable</w:t>
      </w:r>
      <w:r w:rsidR="00CF66F8" w:rsidRPr="00B6124D">
        <w:rPr>
          <w:sz w:val="22"/>
          <w:szCs w:val="22"/>
        </w:rPr>
        <w:t xml:space="preserve"> pursuant to Section 1</w:t>
      </w:r>
      <w:r w:rsidR="003D010D" w:rsidRPr="00B6124D">
        <w:rPr>
          <w:sz w:val="22"/>
          <w:szCs w:val="22"/>
        </w:rPr>
        <w:t>.</w:t>
      </w:r>
    </w:p>
    <w:p w14:paraId="24893E67" w14:textId="77777777" w:rsidR="003D010D" w:rsidRPr="00B6124D" w:rsidRDefault="00B3631B" w:rsidP="00205B62">
      <w:pPr>
        <w:autoSpaceDE w:val="0"/>
        <w:autoSpaceDN w:val="0"/>
        <w:adjustRightInd w:val="0"/>
        <w:spacing w:before="0" w:after="120"/>
        <w:ind w:firstLine="0"/>
        <w:jc w:val="both"/>
        <w:rPr>
          <w:sz w:val="22"/>
          <w:szCs w:val="22"/>
        </w:rPr>
      </w:pPr>
      <w:r w:rsidRPr="00B6124D">
        <w:rPr>
          <w:sz w:val="22"/>
          <w:szCs w:val="22"/>
        </w:rPr>
        <w:tab/>
      </w:r>
      <w:r w:rsidR="003D010D" w:rsidRPr="00B6124D">
        <w:rPr>
          <w:sz w:val="22"/>
          <w:szCs w:val="22"/>
        </w:rPr>
        <w:t>(e)</w:t>
      </w:r>
      <w:r w:rsidR="003D010D" w:rsidRPr="00B6124D">
        <w:rPr>
          <w:sz w:val="22"/>
          <w:szCs w:val="22"/>
        </w:rPr>
        <w:tab/>
        <w:t xml:space="preserve">To its knowledge, the Company owns or possesses (or can obtain on commercially reasonable terms) sufficient legal rights to all patents, trademarks, service marks, trade names, copyrights, trade secrets, licenses, information, processes and other intellectual property rights necessary for its business as now conducted and as </w:t>
      </w:r>
      <w:r w:rsidR="00D8394E" w:rsidRPr="00B6124D">
        <w:rPr>
          <w:sz w:val="22"/>
          <w:szCs w:val="22"/>
        </w:rPr>
        <w:t xml:space="preserve">currently </w:t>
      </w:r>
      <w:r w:rsidR="003D010D" w:rsidRPr="00B6124D">
        <w:rPr>
          <w:sz w:val="22"/>
          <w:szCs w:val="22"/>
        </w:rPr>
        <w:t>proposed to be conducted, without any conflict with, or infringement of the rights of, others.</w:t>
      </w:r>
    </w:p>
    <w:p w14:paraId="6ABDF407" w14:textId="77777777" w:rsidR="00D00425" w:rsidRPr="00B6124D" w:rsidRDefault="007C29F3" w:rsidP="00205B62">
      <w:pPr>
        <w:autoSpaceDE w:val="0"/>
        <w:autoSpaceDN w:val="0"/>
        <w:adjustRightInd w:val="0"/>
        <w:spacing w:before="0" w:after="120"/>
        <w:ind w:firstLine="0"/>
        <w:jc w:val="both"/>
        <w:rPr>
          <w:sz w:val="22"/>
          <w:szCs w:val="22"/>
        </w:rPr>
      </w:pPr>
      <w:r w:rsidRPr="00B6124D">
        <w:rPr>
          <w:sz w:val="22"/>
          <w:szCs w:val="22"/>
        </w:rPr>
        <w:t>4.</w:t>
      </w:r>
      <w:r w:rsidRPr="00B6124D">
        <w:rPr>
          <w:sz w:val="22"/>
          <w:szCs w:val="22"/>
        </w:rPr>
        <w:tab/>
      </w:r>
      <w:r w:rsidR="008C2626" w:rsidRPr="00B6124D">
        <w:rPr>
          <w:b/>
          <w:i/>
          <w:sz w:val="22"/>
          <w:szCs w:val="22"/>
        </w:rPr>
        <w:t>Investor</w:t>
      </w:r>
      <w:r w:rsidRPr="00B6124D">
        <w:rPr>
          <w:b/>
          <w:i/>
          <w:sz w:val="22"/>
          <w:szCs w:val="22"/>
        </w:rPr>
        <w:t xml:space="preserve"> Representations</w:t>
      </w:r>
    </w:p>
    <w:p w14:paraId="14479B52" w14:textId="77777777" w:rsidR="0094024D" w:rsidRPr="00B6124D" w:rsidRDefault="004F631E" w:rsidP="00205B62">
      <w:pPr>
        <w:autoSpaceDE w:val="0"/>
        <w:autoSpaceDN w:val="0"/>
        <w:adjustRightInd w:val="0"/>
        <w:spacing w:before="0" w:after="120"/>
        <w:ind w:firstLine="0"/>
        <w:jc w:val="both"/>
        <w:rPr>
          <w:sz w:val="22"/>
          <w:szCs w:val="22"/>
        </w:rPr>
      </w:pPr>
      <w:r w:rsidRPr="00B6124D">
        <w:rPr>
          <w:sz w:val="22"/>
          <w:szCs w:val="22"/>
        </w:rPr>
        <w:tab/>
      </w:r>
      <w:r w:rsidR="0094024D" w:rsidRPr="00B6124D">
        <w:rPr>
          <w:sz w:val="22"/>
          <w:szCs w:val="22"/>
        </w:rPr>
        <w:t>(a)</w:t>
      </w:r>
      <w:r w:rsidR="0094024D" w:rsidRPr="00B6124D">
        <w:rPr>
          <w:sz w:val="22"/>
          <w:szCs w:val="22"/>
        </w:rPr>
        <w:tab/>
        <w:t xml:space="preserve">The </w:t>
      </w:r>
      <w:r w:rsidR="008C2626" w:rsidRPr="00B6124D">
        <w:rPr>
          <w:sz w:val="22"/>
          <w:szCs w:val="22"/>
        </w:rPr>
        <w:t>Investor</w:t>
      </w:r>
      <w:r w:rsidR="0094024D" w:rsidRPr="00B6124D">
        <w:rPr>
          <w:sz w:val="22"/>
          <w:szCs w:val="22"/>
        </w:rPr>
        <w:t xml:space="preserve"> has full legal capacity, power and authority to execute and deliver this </w:t>
      </w:r>
      <w:r w:rsidR="00ED536F" w:rsidRPr="00B6124D">
        <w:rPr>
          <w:sz w:val="22"/>
          <w:szCs w:val="22"/>
        </w:rPr>
        <w:t>Safe</w:t>
      </w:r>
      <w:r w:rsidR="0094024D" w:rsidRPr="00B6124D">
        <w:rPr>
          <w:sz w:val="22"/>
          <w:szCs w:val="22"/>
        </w:rPr>
        <w:t xml:space="preserve"> and to perform its obl</w:t>
      </w:r>
      <w:r w:rsidR="00CF66F8" w:rsidRPr="00B6124D">
        <w:rPr>
          <w:sz w:val="22"/>
          <w:szCs w:val="22"/>
        </w:rPr>
        <w:t xml:space="preserve">igations hereunder. This </w:t>
      </w:r>
      <w:r w:rsidR="00ED536F" w:rsidRPr="00B6124D">
        <w:rPr>
          <w:sz w:val="22"/>
          <w:szCs w:val="22"/>
        </w:rPr>
        <w:t>Safe</w:t>
      </w:r>
      <w:r w:rsidR="0094024D" w:rsidRPr="00B6124D">
        <w:rPr>
          <w:sz w:val="22"/>
          <w:szCs w:val="22"/>
        </w:rPr>
        <w:t xml:space="preserve"> constitutes valid and binding obligation of the </w:t>
      </w:r>
      <w:r w:rsidR="008C2626" w:rsidRPr="00B6124D">
        <w:rPr>
          <w:sz w:val="22"/>
          <w:szCs w:val="22"/>
        </w:rPr>
        <w:t>Investor</w:t>
      </w:r>
      <w:r w:rsidR="0094024D" w:rsidRPr="00B6124D">
        <w:rPr>
          <w:sz w:val="22"/>
          <w:szCs w:val="22"/>
        </w:rPr>
        <w:t xml:space="preserve">, enforceable in accordance with its terms, except as limited by bankruptcy, insolvency or other laws of general application relating to or affecting the enforcement of creditors’ rights generally and general principles of equity. </w:t>
      </w:r>
    </w:p>
    <w:p w14:paraId="1A1E460C" w14:textId="77777777" w:rsidR="0094024D" w:rsidRPr="00B6124D" w:rsidRDefault="004F631E" w:rsidP="00205B62">
      <w:pPr>
        <w:autoSpaceDE w:val="0"/>
        <w:autoSpaceDN w:val="0"/>
        <w:adjustRightInd w:val="0"/>
        <w:spacing w:before="0" w:after="120"/>
        <w:ind w:firstLine="0"/>
        <w:jc w:val="both"/>
        <w:rPr>
          <w:sz w:val="22"/>
          <w:szCs w:val="22"/>
        </w:rPr>
      </w:pPr>
      <w:r w:rsidRPr="00B6124D">
        <w:rPr>
          <w:sz w:val="22"/>
          <w:szCs w:val="22"/>
        </w:rPr>
        <w:tab/>
      </w:r>
      <w:r w:rsidR="0094024D" w:rsidRPr="00B6124D">
        <w:rPr>
          <w:sz w:val="22"/>
          <w:szCs w:val="22"/>
        </w:rPr>
        <w:t>(b)</w:t>
      </w:r>
      <w:r w:rsidR="0094024D" w:rsidRPr="00B6124D">
        <w:rPr>
          <w:sz w:val="22"/>
          <w:szCs w:val="22"/>
        </w:rPr>
        <w:tab/>
      </w:r>
      <w:r w:rsidR="009A7BC6" w:rsidRPr="00B6124D">
        <w:rPr>
          <w:sz w:val="22"/>
          <w:szCs w:val="22"/>
        </w:rPr>
        <w:t>The Investor is satisfied as to the full observance of the laws of Investor’s jurisdiction in connection with any invitation to purchase the Securities, including (i) the legal requirements within Investor’s jurisdiction for the purchase of the Securities, (ii) any foreign exchange restrictions applicable to such purchase, (iii) any governmental or other consents that may need to be obtained and (iv) the income tax and other tax consequences, if any, that may be relevant to the purchase, holding, redemption, sale or transfer of the Securities. Investor’s subscription and payment for, and Investor’s continued beneficial ownership of, the Securities will not violate any applicable securities or other laws of Investor’s jurisdiction</w:t>
      </w:r>
      <w:r w:rsidR="00A30B55" w:rsidRPr="00B6124D">
        <w:rPr>
          <w:sz w:val="22"/>
          <w:szCs w:val="22"/>
        </w:rPr>
        <w:t>.</w:t>
      </w:r>
      <w:r w:rsidR="009A7BC6" w:rsidRPr="00B6124D">
        <w:rPr>
          <w:sz w:val="22"/>
          <w:szCs w:val="22"/>
        </w:rPr>
        <w:t xml:space="preserve"> </w:t>
      </w:r>
      <w:r w:rsidR="00F2249D" w:rsidRPr="00B6124D">
        <w:rPr>
          <w:sz w:val="22"/>
          <w:szCs w:val="22"/>
        </w:rPr>
        <w:t>The Investor is purchasing this Safe and the securities to be acquired by the Investor hereunder for its own account for investment, not as a nominee or agent, and not with a view to, or for resale in connection with, the distribution thereof, and the Investor has no present intention of selling, granting any participation in, or otherwise distributing the same. The Investor has such knowledge and experience in financial and business matters that the Investor is capable of evaluating the merits and risks of such investment, is able to incur a complete loss of such investment without impairing the Investor’s financial condition and is able to bear the economic risk of such investment for an indefinite period of time</w:t>
      </w:r>
      <w:r w:rsidR="0094024D" w:rsidRPr="00B6124D">
        <w:rPr>
          <w:sz w:val="22"/>
          <w:szCs w:val="22"/>
        </w:rPr>
        <w:t xml:space="preserve">. </w:t>
      </w:r>
    </w:p>
    <w:p w14:paraId="1672091D" w14:textId="77777777" w:rsidR="0094024D" w:rsidRPr="00B6124D" w:rsidRDefault="00EC0F44" w:rsidP="00205B62">
      <w:pPr>
        <w:autoSpaceDE w:val="0"/>
        <w:autoSpaceDN w:val="0"/>
        <w:adjustRightInd w:val="0"/>
        <w:spacing w:before="0" w:after="120"/>
        <w:ind w:firstLine="0"/>
        <w:jc w:val="both"/>
        <w:rPr>
          <w:b/>
          <w:i/>
          <w:sz w:val="22"/>
          <w:szCs w:val="22"/>
        </w:rPr>
      </w:pPr>
      <w:r w:rsidRPr="00B6124D">
        <w:rPr>
          <w:sz w:val="22"/>
          <w:szCs w:val="22"/>
        </w:rPr>
        <w:t>5.</w:t>
      </w:r>
      <w:r w:rsidR="00F473F4" w:rsidRPr="00B6124D">
        <w:rPr>
          <w:sz w:val="22"/>
          <w:szCs w:val="22"/>
        </w:rPr>
        <w:tab/>
      </w:r>
      <w:r w:rsidRPr="00B6124D">
        <w:rPr>
          <w:b/>
          <w:i/>
          <w:sz w:val="22"/>
          <w:szCs w:val="22"/>
        </w:rPr>
        <w:t>Miscellaneous</w:t>
      </w:r>
    </w:p>
    <w:p w14:paraId="2FD44D57" w14:textId="77777777" w:rsidR="0094024D" w:rsidRPr="00B6124D" w:rsidRDefault="00F473F4" w:rsidP="00205B62">
      <w:pPr>
        <w:autoSpaceDE w:val="0"/>
        <w:autoSpaceDN w:val="0"/>
        <w:adjustRightInd w:val="0"/>
        <w:spacing w:before="0" w:after="120"/>
        <w:ind w:firstLine="0"/>
        <w:jc w:val="both"/>
        <w:rPr>
          <w:sz w:val="22"/>
          <w:szCs w:val="22"/>
        </w:rPr>
      </w:pPr>
      <w:r w:rsidRPr="00B6124D">
        <w:rPr>
          <w:sz w:val="22"/>
          <w:szCs w:val="22"/>
        </w:rPr>
        <w:tab/>
      </w:r>
      <w:r w:rsidR="00EC0F44" w:rsidRPr="00B6124D">
        <w:rPr>
          <w:sz w:val="22"/>
          <w:szCs w:val="22"/>
        </w:rPr>
        <w:t>(a)</w:t>
      </w:r>
      <w:r w:rsidR="00EC0F44" w:rsidRPr="00B6124D">
        <w:rPr>
          <w:b/>
          <w:i/>
          <w:sz w:val="22"/>
          <w:szCs w:val="22"/>
        </w:rPr>
        <w:tab/>
      </w:r>
      <w:r w:rsidR="00275B90" w:rsidRPr="00B6124D">
        <w:rPr>
          <w:sz w:val="22"/>
          <w:szCs w:val="22"/>
        </w:rPr>
        <w:t xml:space="preserve">Any provision of this Safe may be amended, waived or modified by written consent of the Company and either (i) the Investor or (ii) the majority-in-interest of all then-outstanding Safes with the same “Post-Money Valuation Cap” and “Discount Rate” as this Safe (and Safes lacking one or both of such terms will be considered to be the same with respect to such term(s)), </w:t>
      </w:r>
      <w:r w:rsidR="00275B90" w:rsidRPr="00B6124D">
        <w:rPr>
          <w:i/>
          <w:sz w:val="22"/>
          <w:szCs w:val="22"/>
        </w:rPr>
        <w:t>provided that</w:t>
      </w:r>
      <w:r w:rsidR="00275B90" w:rsidRPr="00B6124D">
        <w:rPr>
          <w:sz w:val="22"/>
          <w:szCs w:val="22"/>
        </w:rPr>
        <w:t xml:space="preserve"> with respect to clause (ii): (A) the Purchase Amount may not be amended, waived or modified in this manner, (B) the consent of the Investor and each holder of such Safes must be solicited (even if not obtained), and (C) such amendment, waiver or modification treats all such holders in the same manner. “Majority-in-interest” refers to the holders of the applicable group of Safes whose Safes have a total Purchase Amount greater than 50% of the total Purchase Amount of all of such applicable group of Safes</w:t>
      </w:r>
      <w:r w:rsidR="00861B01" w:rsidRPr="00B6124D">
        <w:rPr>
          <w:sz w:val="22"/>
          <w:szCs w:val="22"/>
        </w:rPr>
        <w:t>.</w:t>
      </w:r>
      <w:r w:rsidR="00442117" w:rsidRPr="00B6124D">
        <w:rPr>
          <w:sz w:val="22"/>
          <w:szCs w:val="22"/>
        </w:rPr>
        <w:t xml:space="preserve">  </w:t>
      </w:r>
    </w:p>
    <w:p w14:paraId="7EA7D818" w14:textId="77777777" w:rsidR="00BE7250" w:rsidRPr="00B6124D" w:rsidRDefault="00EC0F44" w:rsidP="00205B62">
      <w:pPr>
        <w:autoSpaceDE w:val="0"/>
        <w:autoSpaceDN w:val="0"/>
        <w:adjustRightInd w:val="0"/>
        <w:spacing w:before="0" w:after="120"/>
        <w:ind w:firstLine="0"/>
        <w:jc w:val="both"/>
        <w:rPr>
          <w:sz w:val="22"/>
          <w:szCs w:val="22"/>
        </w:rPr>
      </w:pPr>
      <w:r w:rsidRPr="00B6124D">
        <w:rPr>
          <w:sz w:val="22"/>
          <w:szCs w:val="22"/>
        </w:rPr>
        <w:tab/>
        <w:t>(b)</w:t>
      </w:r>
      <w:r w:rsidRPr="00B6124D">
        <w:rPr>
          <w:sz w:val="22"/>
          <w:szCs w:val="22"/>
        </w:rPr>
        <w:tab/>
      </w:r>
      <w:r w:rsidR="007866A3" w:rsidRPr="00B6124D">
        <w:rPr>
          <w:sz w:val="22"/>
          <w:szCs w:val="22"/>
        </w:rPr>
        <w:t xml:space="preserve">Any notice required or permitted by this </w:t>
      </w:r>
      <w:r w:rsidR="00ED536F" w:rsidRPr="00B6124D">
        <w:rPr>
          <w:sz w:val="22"/>
          <w:szCs w:val="22"/>
        </w:rPr>
        <w:t>Safe</w:t>
      </w:r>
      <w:r w:rsidR="007866A3" w:rsidRPr="00B6124D">
        <w:rPr>
          <w:sz w:val="22"/>
          <w:szCs w:val="22"/>
        </w:rPr>
        <w:t xml:space="preserve"> </w:t>
      </w:r>
      <w:r w:rsidR="002B4850" w:rsidRPr="00B6124D">
        <w:rPr>
          <w:sz w:val="22"/>
          <w:szCs w:val="22"/>
        </w:rPr>
        <w:t>will</w:t>
      </w:r>
      <w:r w:rsidR="007866A3" w:rsidRPr="00B6124D">
        <w:rPr>
          <w:sz w:val="22"/>
          <w:szCs w:val="22"/>
        </w:rPr>
        <w:t xml:space="preserve"> be deemed sufficient when delivered personally or by overnight courier or sent by email</w:t>
      </w:r>
      <w:r w:rsidR="0074081B" w:rsidRPr="00B6124D">
        <w:rPr>
          <w:sz w:val="22"/>
          <w:szCs w:val="22"/>
        </w:rPr>
        <w:t xml:space="preserve"> to the relevant address listed on the signature page</w:t>
      </w:r>
      <w:r w:rsidR="007866A3" w:rsidRPr="00B6124D">
        <w:rPr>
          <w:sz w:val="22"/>
          <w:szCs w:val="22"/>
        </w:rPr>
        <w:t xml:space="preserve">, or 48 hours after being deposited in the mail as certified or registered mail with postage prepaid, addressed to the party to be notified at such party’s address </w:t>
      </w:r>
      <w:r w:rsidR="00795EE8" w:rsidRPr="00B6124D">
        <w:rPr>
          <w:sz w:val="22"/>
          <w:szCs w:val="22"/>
        </w:rPr>
        <w:t>listed</w:t>
      </w:r>
      <w:r w:rsidR="007866A3" w:rsidRPr="00B6124D">
        <w:rPr>
          <w:sz w:val="22"/>
          <w:szCs w:val="22"/>
        </w:rPr>
        <w:t xml:space="preserve"> on the signature page, as subsequently modified by written notice.</w:t>
      </w:r>
    </w:p>
    <w:p w14:paraId="081A1A97" w14:textId="77777777" w:rsidR="00E23215" w:rsidRPr="00B6124D" w:rsidRDefault="007866A3" w:rsidP="00205B62">
      <w:pPr>
        <w:autoSpaceDE w:val="0"/>
        <w:autoSpaceDN w:val="0"/>
        <w:adjustRightInd w:val="0"/>
        <w:spacing w:before="0" w:after="120"/>
        <w:ind w:firstLine="0"/>
        <w:jc w:val="both"/>
        <w:rPr>
          <w:sz w:val="22"/>
          <w:szCs w:val="22"/>
        </w:rPr>
      </w:pPr>
      <w:r w:rsidRPr="00B6124D">
        <w:rPr>
          <w:sz w:val="22"/>
          <w:szCs w:val="22"/>
        </w:rPr>
        <w:tab/>
        <w:t>(c)</w:t>
      </w:r>
      <w:r w:rsidRPr="00B6124D">
        <w:rPr>
          <w:sz w:val="22"/>
          <w:szCs w:val="22"/>
        </w:rPr>
        <w:tab/>
      </w:r>
      <w:r w:rsidR="00703CB7" w:rsidRPr="00B6124D">
        <w:rPr>
          <w:sz w:val="22"/>
          <w:szCs w:val="22"/>
        </w:rPr>
        <w:t xml:space="preserve">The Investor is not entitled, as a holder of this Safe, to vote or be deemed a holder of Capital Stock for any purpose other than tax purposes, nor will anything in this Safe be construed to confer on the </w:t>
      </w:r>
      <w:r w:rsidR="00703CB7" w:rsidRPr="00B6124D">
        <w:rPr>
          <w:sz w:val="22"/>
          <w:szCs w:val="22"/>
        </w:rPr>
        <w:lastRenderedPageBreak/>
        <w:t xml:space="preserve">Investor, as such, any rights of a Company stockholder or rights to vote for the election of </w:t>
      </w:r>
      <w:r w:rsidR="00A559B4" w:rsidRPr="00B6124D">
        <w:rPr>
          <w:sz w:val="22"/>
          <w:szCs w:val="22"/>
        </w:rPr>
        <w:t xml:space="preserve">members of governing bodies </w:t>
      </w:r>
      <w:r w:rsidR="00703CB7" w:rsidRPr="00B6124D">
        <w:rPr>
          <w:sz w:val="22"/>
          <w:szCs w:val="22"/>
        </w:rPr>
        <w:t>or on any matter submitted to Company stockholders, or to give or withhold consent to any corporate action or to receive notice of meetings, until shares have been issued on the terms described in Section 1.  However, if the Company pays a dividend on outstanding shares of Common Stock (that is not payable in shares of Common Stock) while this Safe is outstanding, the Company will pay the Dividend Amount to the Investor at the same time</w:t>
      </w:r>
      <w:r w:rsidR="00EC0F44" w:rsidRPr="00B6124D">
        <w:rPr>
          <w:sz w:val="22"/>
          <w:szCs w:val="22"/>
        </w:rPr>
        <w:t>.</w:t>
      </w:r>
    </w:p>
    <w:p w14:paraId="6C7ACEB9" w14:textId="77777777" w:rsidR="00E23215" w:rsidRPr="00B6124D" w:rsidRDefault="00F917CB" w:rsidP="00205B62">
      <w:pPr>
        <w:autoSpaceDE w:val="0"/>
        <w:autoSpaceDN w:val="0"/>
        <w:adjustRightInd w:val="0"/>
        <w:spacing w:before="0" w:after="120"/>
        <w:ind w:firstLine="0"/>
        <w:jc w:val="both"/>
        <w:rPr>
          <w:sz w:val="22"/>
          <w:szCs w:val="22"/>
        </w:rPr>
      </w:pPr>
      <w:r w:rsidRPr="00B6124D">
        <w:rPr>
          <w:sz w:val="22"/>
          <w:szCs w:val="22"/>
        </w:rPr>
        <w:tab/>
      </w:r>
      <w:r w:rsidR="00C002E9" w:rsidRPr="00B6124D">
        <w:rPr>
          <w:sz w:val="22"/>
          <w:szCs w:val="22"/>
        </w:rPr>
        <w:t>(</w:t>
      </w:r>
      <w:r w:rsidR="007C7B47" w:rsidRPr="00B6124D">
        <w:rPr>
          <w:sz w:val="22"/>
          <w:szCs w:val="22"/>
        </w:rPr>
        <w:t>d</w:t>
      </w:r>
      <w:r w:rsidR="00C002E9" w:rsidRPr="00B6124D">
        <w:rPr>
          <w:sz w:val="22"/>
          <w:szCs w:val="22"/>
        </w:rPr>
        <w:t>)</w:t>
      </w:r>
      <w:r w:rsidR="00C002E9" w:rsidRPr="00B6124D">
        <w:rPr>
          <w:sz w:val="22"/>
          <w:szCs w:val="22"/>
        </w:rPr>
        <w:tab/>
      </w:r>
      <w:r w:rsidR="00BE0586" w:rsidRPr="00B6124D">
        <w:rPr>
          <w:sz w:val="22"/>
          <w:szCs w:val="22"/>
        </w:rPr>
        <w:t xml:space="preserve">Neither this Safe nor the rights in this Safe </w:t>
      </w:r>
      <w:r w:rsidR="00BE0586" w:rsidRPr="00B6124D">
        <w:rPr>
          <w:color w:val="000000" w:themeColor="text1"/>
          <w:sz w:val="22"/>
          <w:szCs w:val="22"/>
        </w:rPr>
        <w:t xml:space="preserve">are transferable or assignable, by operation of law or otherwise, by either party without the prior written consent of the other; </w:t>
      </w:r>
      <w:r w:rsidR="00BE0586" w:rsidRPr="00B6124D">
        <w:rPr>
          <w:i/>
          <w:color w:val="000000" w:themeColor="text1"/>
          <w:sz w:val="22"/>
          <w:szCs w:val="22"/>
        </w:rPr>
        <w:t>provided, however</w:t>
      </w:r>
      <w:r w:rsidR="00BE0586" w:rsidRPr="00B6124D">
        <w:rPr>
          <w:color w:val="000000" w:themeColor="text1"/>
          <w:sz w:val="22"/>
          <w:szCs w:val="22"/>
        </w:rPr>
        <w:t xml:space="preserve">, that this Safe and/or its rights may be assigned without the Company’s consent by the Investor </w:t>
      </w:r>
      <w:r w:rsidR="00141AEC" w:rsidRPr="00B6124D">
        <w:rPr>
          <w:color w:val="000000" w:themeColor="text1"/>
          <w:sz w:val="22"/>
          <w:szCs w:val="22"/>
        </w:rPr>
        <w:t>(</w:t>
      </w:r>
      <w:r w:rsidR="00141AEC" w:rsidRPr="00B6124D">
        <w:rPr>
          <w:color w:val="000000" w:themeColor="text1"/>
          <w:sz w:val="22"/>
          <w:szCs w:val="22"/>
          <w:shd w:val="clear" w:color="auto" w:fill="FFFFFF"/>
        </w:rPr>
        <w:t xml:space="preserve">i) to the Investor’s estate, heirs, executors, administrators, guardians and/or successors in the event of Investor’s death or disability, or (ii) </w:t>
      </w:r>
      <w:r w:rsidR="00BE0586" w:rsidRPr="00B6124D">
        <w:rPr>
          <w:color w:val="000000" w:themeColor="text1"/>
          <w:sz w:val="22"/>
          <w:szCs w:val="22"/>
          <w:lang w:eastAsia="zh-TW"/>
        </w:rPr>
        <w:t xml:space="preserve">to any </w:t>
      </w:r>
      <w:r w:rsidR="00BE0586" w:rsidRPr="00B6124D">
        <w:rPr>
          <w:sz w:val="22"/>
          <w:szCs w:val="22"/>
          <w:lang w:eastAsia="zh-TW"/>
        </w:rPr>
        <w:t>other entity who directly or indirectly, controls, is controlled by or is under common control with the Investor, including, without limitation, any general partner, managing member, officer or director of the Investor, or any venture capital fund now or hereafter existing which is controlled by one or more general partners or managing members of, or shares the same management company with, the Investor</w:t>
      </w:r>
      <w:r w:rsidR="00BE0586" w:rsidRPr="00B6124D">
        <w:rPr>
          <w:sz w:val="22"/>
          <w:szCs w:val="22"/>
        </w:rPr>
        <w:t xml:space="preserve">; and </w:t>
      </w:r>
      <w:r w:rsidR="00BE0586" w:rsidRPr="00B6124D">
        <w:rPr>
          <w:i/>
          <w:sz w:val="22"/>
          <w:szCs w:val="22"/>
        </w:rPr>
        <w:t>provided, further</w:t>
      </w:r>
      <w:r w:rsidR="00BE0586" w:rsidRPr="00B6124D">
        <w:rPr>
          <w:sz w:val="22"/>
          <w:szCs w:val="22"/>
        </w:rPr>
        <w:t>, that the Company may assign this Safe in whole, without the consent of the Investor, in connection with a reincorporation to change the Company’s domicile</w:t>
      </w:r>
      <w:r w:rsidR="00F22B9B" w:rsidRPr="00B6124D">
        <w:rPr>
          <w:sz w:val="22"/>
          <w:szCs w:val="22"/>
        </w:rPr>
        <w:t>, including a transaction whereby another company acquires shares in the Company in consideration for the issuance of shares in that company to the holders of shares of the Company substantially in proportion to their existing holdings in the Company</w:t>
      </w:r>
      <w:r w:rsidR="00347B1F" w:rsidRPr="00B6124D">
        <w:rPr>
          <w:sz w:val="22"/>
          <w:szCs w:val="22"/>
        </w:rPr>
        <w:t>.</w:t>
      </w:r>
      <w:r w:rsidR="00B160B2" w:rsidRPr="00B6124D">
        <w:rPr>
          <w:sz w:val="22"/>
          <w:szCs w:val="22"/>
        </w:rPr>
        <w:t xml:space="preserve">  </w:t>
      </w:r>
    </w:p>
    <w:p w14:paraId="07E05A85" w14:textId="77777777" w:rsidR="00E23215" w:rsidRPr="00B6124D" w:rsidRDefault="00775FCF" w:rsidP="00205B62">
      <w:pPr>
        <w:autoSpaceDE w:val="0"/>
        <w:autoSpaceDN w:val="0"/>
        <w:adjustRightInd w:val="0"/>
        <w:spacing w:before="0" w:after="120"/>
        <w:ind w:firstLine="0"/>
        <w:jc w:val="both"/>
        <w:rPr>
          <w:sz w:val="22"/>
          <w:szCs w:val="22"/>
        </w:rPr>
      </w:pPr>
      <w:r w:rsidRPr="00B6124D">
        <w:rPr>
          <w:rStyle w:val="DeltaViewDeletion"/>
          <w:strike w:val="0"/>
          <w:color w:val="auto"/>
          <w:sz w:val="22"/>
          <w:szCs w:val="22"/>
        </w:rPr>
        <w:tab/>
      </w:r>
      <w:r w:rsidR="00D25E25" w:rsidRPr="00B6124D">
        <w:rPr>
          <w:rStyle w:val="DeltaViewDeletion"/>
          <w:strike w:val="0"/>
          <w:color w:val="auto"/>
          <w:sz w:val="22"/>
          <w:szCs w:val="22"/>
        </w:rPr>
        <w:t>(</w:t>
      </w:r>
      <w:r w:rsidR="007C7B47" w:rsidRPr="00B6124D">
        <w:rPr>
          <w:rStyle w:val="DeltaViewDeletion"/>
          <w:strike w:val="0"/>
          <w:color w:val="auto"/>
          <w:sz w:val="22"/>
          <w:szCs w:val="22"/>
        </w:rPr>
        <w:t>e</w:t>
      </w:r>
      <w:r w:rsidR="00D25E25" w:rsidRPr="00B6124D">
        <w:rPr>
          <w:rStyle w:val="DeltaViewDeletion"/>
          <w:strike w:val="0"/>
          <w:color w:val="auto"/>
          <w:sz w:val="22"/>
          <w:szCs w:val="22"/>
        </w:rPr>
        <w:t>)</w:t>
      </w:r>
      <w:r w:rsidR="00D25E25" w:rsidRPr="00B6124D">
        <w:rPr>
          <w:rStyle w:val="DeltaViewDeletion"/>
          <w:strike w:val="0"/>
          <w:color w:val="auto"/>
          <w:sz w:val="22"/>
          <w:szCs w:val="22"/>
        </w:rPr>
        <w:tab/>
      </w:r>
      <w:r w:rsidR="001D7B14" w:rsidRPr="00B6124D">
        <w:rPr>
          <w:sz w:val="22"/>
          <w:szCs w:val="22"/>
        </w:rPr>
        <w:t xml:space="preserve">In the event any one or more of the provisions of this </w:t>
      </w:r>
      <w:r w:rsidR="00ED536F" w:rsidRPr="00B6124D">
        <w:rPr>
          <w:sz w:val="22"/>
          <w:szCs w:val="22"/>
        </w:rPr>
        <w:t>Safe</w:t>
      </w:r>
      <w:r w:rsidR="001D7B14" w:rsidRPr="00B6124D">
        <w:rPr>
          <w:sz w:val="22"/>
          <w:szCs w:val="22"/>
        </w:rPr>
        <w:t xml:space="preserve"> </w:t>
      </w:r>
      <w:r w:rsidR="00830210" w:rsidRPr="00B6124D">
        <w:rPr>
          <w:sz w:val="22"/>
          <w:szCs w:val="22"/>
        </w:rPr>
        <w:t>is</w:t>
      </w:r>
      <w:r w:rsidR="001D7B14" w:rsidRPr="00B6124D">
        <w:rPr>
          <w:sz w:val="22"/>
          <w:szCs w:val="22"/>
        </w:rPr>
        <w:t xml:space="preserve"> for any reason held to be invalid, illegal or unenforceable, in whole or in part or in any respect, or in the event that any one or more of the provisions of this </w:t>
      </w:r>
      <w:r w:rsidR="00ED536F" w:rsidRPr="00B6124D">
        <w:rPr>
          <w:sz w:val="22"/>
          <w:szCs w:val="22"/>
        </w:rPr>
        <w:t>Safe</w:t>
      </w:r>
      <w:r w:rsidR="001D7B14" w:rsidRPr="00B6124D">
        <w:rPr>
          <w:sz w:val="22"/>
          <w:szCs w:val="22"/>
        </w:rPr>
        <w:t xml:space="preserve"> operate or would prospectively operate to invalidate this </w:t>
      </w:r>
      <w:r w:rsidR="00ED536F" w:rsidRPr="00B6124D">
        <w:rPr>
          <w:sz w:val="22"/>
          <w:szCs w:val="22"/>
        </w:rPr>
        <w:t>Safe</w:t>
      </w:r>
      <w:r w:rsidR="001D7B14" w:rsidRPr="00B6124D">
        <w:rPr>
          <w:sz w:val="22"/>
          <w:szCs w:val="22"/>
        </w:rPr>
        <w:t xml:space="preserve">, then and in any such event, such provision(s) only </w:t>
      </w:r>
      <w:r w:rsidR="00830210" w:rsidRPr="00B6124D">
        <w:rPr>
          <w:sz w:val="22"/>
          <w:szCs w:val="22"/>
        </w:rPr>
        <w:t>will</w:t>
      </w:r>
      <w:r w:rsidR="001D7B14" w:rsidRPr="00B6124D">
        <w:rPr>
          <w:sz w:val="22"/>
          <w:szCs w:val="22"/>
        </w:rPr>
        <w:t xml:space="preserve"> be deemed null and void and </w:t>
      </w:r>
      <w:r w:rsidR="00830210" w:rsidRPr="00B6124D">
        <w:rPr>
          <w:sz w:val="22"/>
          <w:szCs w:val="22"/>
        </w:rPr>
        <w:t>will</w:t>
      </w:r>
      <w:r w:rsidR="001D7B14" w:rsidRPr="00B6124D">
        <w:rPr>
          <w:sz w:val="22"/>
          <w:szCs w:val="22"/>
        </w:rPr>
        <w:t xml:space="preserve"> not affect any other provision of this </w:t>
      </w:r>
      <w:r w:rsidR="00ED536F" w:rsidRPr="00B6124D">
        <w:rPr>
          <w:sz w:val="22"/>
          <w:szCs w:val="22"/>
        </w:rPr>
        <w:t xml:space="preserve">Safe </w:t>
      </w:r>
      <w:r w:rsidR="001D7B14" w:rsidRPr="00B6124D">
        <w:rPr>
          <w:sz w:val="22"/>
          <w:szCs w:val="22"/>
        </w:rPr>
        <w:t xml:space="preserve">and the remaining provisions of this </w:t>
      </w:r>
      <w:r w:rsidR="00ED536F" w:rsidRPr="00B6124D">
        <w:rPr>
          <w:sz w:val="22"/>
          <w:szCs w:val="22"/>
        </w:rPr>
        <w:t xml:space="preserve">Safe </w:t>
      </w:r>
      <w:r w:rsidR="00830210" w:rsidRPr="00B6124D">
        <w:rPr>
          <w:sz w:val="22"/>
          <w:szCs w:val="22"/>
        </w:rPr>
        <w:t>will</w:t>
      </w:r>
      <w:r w:rsidR="001D7B14" w:rsidRPr="00B6124D">
        <w:rPr>
          <w:sz w:val="22"/>
          <w:szCs w:val="22"/>
        </w:rPr>
        <w:t xml:space="preserve"> remain operative and in full force and effect and </w:t>
      </w:r>
      <w:r w:rsidR="00830210" w:rsidRPr="00B6124D">
        <w:rPr>
          <w:sz w:val="22"/>
          <w:szCs w:val="22"/>
        </w:rPr>
        <w:t xml:space="preserve">will not </w:t>
      </w:r>
      <w:r w:rsidR="001D7B14" w:rsidRPr="00B6124D">
        <w:rPr>
          <w:sz w:val="22"/>
          <w:szCs w:val="22"/>
        </w:rPr>
        <w:t xml:space="preserve">be affected, prejudiced, or disturbed thereby. </w:t>
      </w:r>
    </w:p>
    <w:p w14:paraId="46677A33" w14:textId="77777777" w:rsidR="00E23215" w:rsidRPr="00B6124D" w:rsidRDefault="0024582E" w:rsidP="00205B62">
      <w:pPr>
        <w:autoSpaceDE w:val="0"/>
        <w:autoSpaceDN w:val="0"/>
        <w:adjustRightInd w:val="0"/>
        <w:spacing w:before="0" w:after="120"/>
        <w:ind w:firstLine="0"/>
        <w:jc w:val="both"/>
        <w:rPr>
          <w:sz w:val="22"/>
          <w:szCs w:val="22"/>
        </w:rPr>
      </w:pPr>
      <w:r w:rsidRPr="00B6124D">
        <w:rPr>
          <w:sz w:val="22"/>
          <w:szCs w:val="22"/>
        </w:rPr>
        <w:tab/>
        <w:t>(</w:t>
      </w:r>
      <w:r w:rsidR="007C7B47" w:rsidRPr="00B6124D">
        <w:rPr>
          <w:sz w:val="22"/>
          <w:szCs w:val="22"/>
        </w:rPr>
        <w:t>f</w:t>
      </w:r>
      <w:r w:rsidRPr="00B6124D">
        <w:rPr>
          <w:sz w:val="22"/>
          <w:szCs w:val="22"/>
        </w:rPr>
        <w:t>)</w:t>
      </w:r>
      <w:r w:rsidRPr="00B6124D">
        <w:rPr>
          <w:sz w:val="22"/>
          <w:szCs w:val="22"/>
        </w:rPr>
        <w:tab/>
      </w:r>
      <w:r w:rsidR="001D7B14" w:rsidRPr="00B6124D">
        <w:rPr>
          <w:sz w:val="22"/>
          <w:szCs w:val="22"/>
        </w:rPr>
        <w:t xml:space="preserve">All rights and obligations hereunder </w:t>
      </w:r>
      <w:r w:rsidR="00830210" w:rsidRPr="00B6124D">
        <w:rPr>
          <w:sz w:val="22"/>
          <w:szCs w:val="22"/>
        </w:rPr>
        <w:t>will</w:t>
      </w:r>
      <w:r w:rsidR="001D7B14" w:rsidRPr="00B6124D">
        <w:rPr>
          <w:sz w:val="22"/>
          <w:szCs w:val="22"/>
        </w:rPr>
        <w:t xml:space="preserve"> be governed by the laws of the </w:t>
      </w:r>
      <w:r w:rsidR="00AF553E" w:rsidRPr="00B6124D">
        <w:rPr>
          <w:sz w:val="22"/>
          <w:szCs w:val="22"/>
        </w:rPr>
        <w:t>Republic of Estonia</w:t>
      </w:r>
      <w:r w:rsidR="001D7B14" w:rsidRPr="00B6124D">
        <w:rPr>
          <w:sz w:val="22"/>
          <w:szCs w:val="22"/>
        </w:rPr>
        <w:t xml:space="preserve">, without regard to the conflicts of law provisions of </w:t>
      </w:r>
      <w:r w:rsidR="00A35B16" w:rsidRPr="00B6124D">
        <w:rPr>
          <w:sz w:val="22"/>
          <w:szCs w:val="22"/>
        </w:rPr>
        <w:t>such jurisdiction</w:t>
      </w:r>
      <w:r w:rsidR="001D7B14" w:rsidRPr="00B6124D">
        <w:rPr>
          <w:sz w:val="22"/>
          <w:szCs w:val="22"/>
        </w:rPr>
        <w:t>.</w:t>
      </w:r>
      <w:r w:rsidR="00AF553E" w:rsidRPr="00B6124D">
        <w:rPr>
          <w:sz w:val="22"/>
          <w:szCs w:val="22"/>
        </w:rPr>
        <w:t xml:space="preserve"> Any disputes arising from this Safe will be solved by the courts of Estonia</w:t>
      </w:r>
    </w:p>
    <w:p w14:paraId="0AC7E3A0" w14:textId="77777777" w:rsidR="00CD4AE9" w:rsidRPr="00B6124D" w:rsidRDefault="00CD4AE9" w:rsidP="00441CD8">
      <w:pPr>
        <w:tabs>
          <w:tab w:val="left" w:pos="360"/>
        </w:tabs>
        <w:autoSpaceDE w:val="0"/>
        <w:autoSpaceDN w:val="0"/>
        <w:adjustRightInd w:val="0"/>
        <w:spacing w:before="0" w:after="120"/>
        <w:ind w:firstLine="0"/>
        <w:jc w:val="both"/>
        <w:rPr>
          <w:sz w:val="22"/>
          <w:szCs w:val="22"/>
        </w:rPr>
      </w:pPr>
    </w:p>
    <w:p w14:paraId="31743696" w14:textId="77777777" w:rsidR="00E23215" w:rsidRPr="00B6124D" w:rsidRDefault="001D7B14">
      <w:pPr>
        <w:autoSpaceDE w:val="0"/>
        <w:autoSpaceDN w:val="0"/>
        <w:adjustRightInd w:val="0"/>
        <w:spacing w:before="0"/>
        <w:ind w:left="-720" w:right="-360" w:firstLine="0"/>
        <w:jc w:val="center"/>
        <w:rPr>
          <w:sz w:val="22"/>
          <w:szCs w:val="22"/>
        </w:rPr>
      </w:pPr>
      <w:r w:rsidRPr="00B6124D">
        <w:rPr>
          <w:sz w:val="22"/>
          <w:szCs w:val="22"/>
        </w:rPr>
        <w:t>(</w:t>
      </w:r>
      <w:r w:rsidRPr="00B6124D">
        <w:rPr>
          <w:i/>
          <w:sz w:val="22"/>
          <w:szCs w:val="22"/>
        </w:rPr>
        <w:t>Signature page follows</w:t>
      </w:r>
      <w:r w:rsidRPr="00B6124D">
        <w:rPr>
          <w:sz w:val="22"/>
          <w:szCs w:val="22"/>
        </w:rPr>
        <w:t>)</w:t>
      </w:r>
    </w:p>
    <w:p w14:paraId="525EDA94" w14:textId="77777777" w:rsidR="00E23215" w:rsidRPr="00B6124D" w:rsidRDefault="00E23215">
      <w:pPr>
        <w:autoSpaceDE w:val="0"/>
        <w:autoSpaceDN w:val="0"/>
        <w:adjustRightInd w:val="0"/>
        <w:spacing w:before="0"/>
        <w:ind w:right="-360" w:firstLine="0"/>
        <w:rPr>
          <w:sz w:val="22"/>
          <w:szCs w:val="22"/>
        </w:rPr>
      </w:pPr>
    </w:p>
    <w:p w14:paraId="1BF4418D" w14:textId="77777777" w:rsidR="00E23215" w:rsidRPr="00B6124D" w:rsidRDefault="00E23215">
      <w:pPr>
        <w:autoSpaceDE w:val="0"/>
        <w:autoSpaceDN w:val="0"/>
        <w:adjustRightInd w:val="0"/>
        <w:spacing w:before="0"/>
        <w:ind w:right="-360" w:firstLine="0"/>
        <w:rPr>
          <w:sz w:val="22"/>
          <w:szCs w:val="22"/>
        </w:rPr>
        <w:sectPr w:rsidR="00E23215" w:rsidRPr="00B6124D" w:rsidSect="0027570E">
          <w:headerReference w:type="even" r:id="rId10"/>
          <w:headerReference w:type="default" r:id="rId11"/>
          <w:footerReference w:type="even" r:id="rId12"/>
          <w:footerReference w:type="default" r:id="rId13"/>
          <w:headerReference w:type="first" r:id="rId14"/>
          <w:footerReference w:type="first" r:id="rId15"/>
          <w:pgSz w:w="12240" w:h="15840" w:code="1"/>
          <w:pgMar w:top="1296" w:right="1080" w:bottom="720" w:left="1440" w:header="288" w:footer="432" w:gutter="0"/>
          <w:cols w:space="720"/>
          <w:titlePg/>
          <w:docGrid w:linePitch="360"/>
        </w:sectPr>
      </w:pPr>
    </w:p>
    <w:p w14:paraId="04837347" w14:textId="77777777" w:rsidR="00E23215" w:rsidRPr="00B6124D" w:rsidRDefault="001D7B14">
      <w:pPr>
        <w:autoSpaceDE w:val="0"/>
        <w:autoSpaceDN w:val="0"/>
        <w:adjustRightInd w:val="0"/>
        <w:spacing w:before="0"/>
        <w:ind w:right="-360" w:firstLine="0"/>
        <w:rPr>
          <w:sz w:val="22"/>
          <w:szCs w:val="22"/>
        </w:rPr>
      </w:pPr>
      <w:r w:rsidRPr="00B6124D">
        <w:rPr>
          <w:sz w:val="22"/>
          <w:szCs w:val="22"/>
        </w:rPr>
        <w:lastRenderedPageBreak/>
        <w:t>IN WITNESS WHEREOF, the under</w:t>
      </w:r>
      <w:r w:rsidR="00A11FD1" w:rsidRPr="00B6124D">
        <w:rPr>
          <w:sz w:val="22"/>
          <w:szCs w:val="22"/>
        </w:rPr>
        <w:t>signed have</w:t>
      </w:r>
      <w:r w:rsidRPr="00B6124D">
        <w:rPr>
          <w:sz w:val="22"/>
          <w:szCs w:val="22"/>
        </w:rPr>
        <w:t xml:space="preserve"> </w:t>
      </w:r>
      <w:r w:rsidR="00253AA3" w:rsidRPr="00B6124D">
        <w:rPr>
          <w:sz w:val="22"/>
          <w:szCs w:val="22"/>
        </w:rPr>
        <w:t xml:space="preserve">caused this </w:t>
      </w:r>
      <w:r w:rsidR="00ED536F" w:rsidRPr="00B6124D">
        <w:rPr>
          <w:sz w:val="22"/>
          <w:szCs w:val="22"/>
        </w:rPr>
        <w:t>Safe</w:t>
      </w:r>
      <w:r w:rsidR="00253AA3" w:rsidRPr="00B6124D">
        <w:rPr>
          <w:sz w:val="22"/>
          <w:szCs w:val="22"/>
        </w:rPr>
        <w:t xml:space="preserve"> to be duly executed and delivered</w:t>
      </w:r>
      <w:r w:rsidRPr="00B6124D">
        <w:rPr>
          <w:sz w:val="22"/>
          <w:szCs w:val="22"/>
        </w:rPr>
        <w:t>.</w:t>
      </w:r>
    </w:p>
    <w:p w14:paraId="41EA0EFC" w14:textId="77777777" w:rsidR="00D03A1B" w:rsidRPr="00B6124D" w:rsidRDefault="00D03A1B">
      <w:pPr>
        <w:autoSpaceDE w:val="0"/>
        <w:autoSpaceDN w:val="0"/>
        <w:adjustRightInd w:val="0"/>
        <w:spacing w:before="0"/>
        <w:ind w:left="5220" w:right="-360" w:firstLine="0"/>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tblGrid>
      <w:tr w:rsidR="0026729C" w14:paraId="2FBEB4E5" w14:textId="77777777" w:rsidTr="00754FAD">
        <w:tc>
          <w:tcPr>
            <w:tcW w:w="4673" w:type="dxa"/>
          </w:tcPr>
          <w:p w14:paraId="505032EE" w14:textId="0F0BDC8A" w:rsidR="0026729C" w:rsidRDefault="0026729C" w:rsidP="00A61E5B">
            <w:pPr>
              <w:autoSpaceDE w:val="0"/>
              <w:autoSpaceDN w:val="0"/>
              <w:adjustRightInd w:val="0"/>
              <w:spacing w:before="0" w:after="120" w:line="276" w:lineRule="auto"/>
              <w:ind w:right="-357" w:firstLine="0"/>
              <w:rPr>
                <w:sz w:val="22"/>
                <w:szCs w:val="22"/>
              </w:rPr>
            </w:pPr>
            <w:r w:rsidRPr="00B6124D">
              <w:rPr>
                <w:sz w:val="22"/>
                <w:szCs w:val="22"/>
              </w:rPr>
              <w:t>[</w:t>
            </w:r>
            <w:r w:rsidRPr="00B6124D">
              <w:rPr>
                <w:b/>
                <w:sz w:val="22"/>
                <w:szCs w:val="22"/>
              </w:rPr>
              <w:t>COMPANY]</w:t>
            </w:r>
          </w:p>
        </w:tc>
      </w:tr>
      <w:tr w:rsidR="0026729C" w14:paraId="0DE1A6B6" w14:textId="77777777" w:rsidTr="00754FAD">
        <w:tc>
          <w:tcPr>
            <w:tcW w:w="4673" w:type="dxa"/>
          </w:tcPr>
          <w:p w14:paraId="422E8644" w14:textId="34CAB71D" w:rsidR="0026729C" w:rsidRDefault="0026729C" w:rsidP="00A61E5B">
            <w:pPr>
              <w:autoSpaceDE w:val="0"/>
              <w:autoSpaceDN w:val="0"/>
              <w:adjustRightInd w:val="0"/>
              <w:spacing w:before="0" w:after="120" w:line="276" w:lineRule="auto"/>
              <w:ind w:right="-357" w:firstLine="0"/>
              <w:rPr>
                <w:sz w:val="22"/>
                <w:szCs w:val="22"/>
              </w:rPr>
            </w:pPr>
            <w:r>
              <w:rPr>
                <w:sz w:val="22"/>
                <w:szCs w:val="22"/>
              </w:rPr>
              <w:t xml:space="preserve">By: </w:t>
            </w:r>
          </w:p>
        </w:tc>
      </w:tr>
      <w:tr w:rsidR="0026729C" w14:paraId="428B9F08" w14:textId="77777777" w:rsidTr="00754FAD">
        <w:tc>
          <w:tcPr>
            <w:tcW w:w="4673" w:type="dxa"/>
          </w:tcPr>
          <w:p w14:paraId="24C55CF3" w14:textId="1DC4F3AF" w:rsidR="0026729C" w:rsidRDefault="0026729C" w:rsidP="00A61E5B">
            <w:pPr>
              <w:autoSpaceDE w:val="0"/>
              <w:autoSpaceDN w:val="0"/>
              <w:adjustRightInd w:val="0"/>
              <w:spacing w:before="0" w:after="120" w:line="276" w:lineRule="auto"/>
              <w:ind w:right="-357" w:firstLine="0"/>
              <w:rPr>
                <w:sz w:val="22"/>
                <w:szCs w:val="22"/>
              </w:rPr>
            </w:pPr>
            <w:r w:rsidRPr="00B6124D">
              <w:rPr>
                <w:sz w:val="22"/>
                <w:szCs w:val="22"/>
              </w:rPr>
              <w:t>[</w:t>
            </w:r>
            <w:r w:rsidRPr="00B6124D">
              <w:rPr>
                <w:i/>
                <w:sz w:val="22"/>
                <w:szCs w:val="22"/>
              </w:rPr>
              <w:t>name</w:t>
            </w:r>
            <w:r w:rsidRPr="00B6124D">
              <w:rPr>
                <w:sz w:val="22"/>
                <w:szCs w:val="22"/>
              </w:rPr>
              <w:t>]</w:t>
            </w:r>
          </w:p>
        </w:tc>
      </w:tr>
      <w:tr w:rsidR="0026729C" w14:paraId="7C33AB5B" w14:textId="77777777" w:rsidTr="00754FAD">
        <w:tc>
          <w:tcPr>
            <w:tcW w:w="4673" w:type="dxa"/>
          </w:tcPr>
          <w:p w14:paraId="0160DE10" w14:textId="60D2D874" w:rsidR="0026729C" w:rsidRDefault="003A2A50" w:rsidP="00A61E5B">
            <w:pPr>
              <w:autoSpaceDE w:val="0"/>
              <w:autoSpaceDN w:val="0"/>
              <w:adjustRightInd w:val="0"/>
              <w:spacing w:before="0" w:after="120" w:line="276" w:lineRule="auto"/>
              <w:ind w:right="-357" w:firstLine="0"/>
              <w:rPr>
                <w:sz w:val="22"/>
                <w:szCs w:val="22"/>
              </w:rPr>
            </w:pPr>
            <w:r w:rsidRPr="00B6124D">
              <w:rPr>
                <w:sz w:val="22"/>
                <w:szCs w:val="22"/>
              </w:rPr>
              <w:t>[</w:t>
            </w:r>
            <w:r w:rsidRPr="00B6124D">
              <w:rPr>
                <w:i/>
                <w:sz w:val="22"/>
                <w:szCs w:val="22"/>
              </w:rPr>
              <w:t>title</w:t>
            </w:r>
            <w:r w:rsidRPr="00B6124D">
              <w:rPr>
                <w:sz w:val="22"/>
                <w:szCs w:val="22"/>
              </w:rPr>
              <w:t>]</w:t>
            </w:r>
          </w:p>
        </w:tc>
      </w:tr>
      <w:tr w:rsidR="003A2A50" w14:paraId="3351C158" w14:textId="77777777" w:rsidTr="00754FAD">
        <w:tc>
          <w:tcPr>
            <w:tcW w:w="4673" w:type="dxa"/>
          </w:tcPr>
          <w:p w14:paraId="7BA991F8" w14:textId="18D8EA91" w:rsidR="003A2A50" w:rsidRDefault="003A2A50" w:rsidP="00A61E5B">
            <w:pPr>
              <w:autoSpaceDE w:val="0"/>
              <w:autoSpaceDN w:val="0"/>
              <w:adjustRightInd w:val="0"/>
              <w:spacing w:before="0" w:after="120" w:line="276" w:lineRule="auto"/>
              <w:ind w:right="-357" w:firstLine="0"/>
              <w:rPr>
                <w:sz w:val="22"/>
                <w:szCs w:val="22"/>
              </w:rPr>
            </w:pPr>
            <w:r>
              <w:rPr>
                <w:sz w:val="22"/>
                <w:szCs w:val="22"/>
              </w:rPr>
              <w:t>Address:</w:t>
            </w:r>
            <w:r w:rsidR="00754FAD">
              <w:rPr>
                <w:sz w:val="22"/>
                <w:szCs w:val="22"/>
              </w:rPr>
              <w:t xml:space="preserve"> </w:t>
            </w:r>
            <w:r>
              <w:rPr>
                <w:sz w:val="22"/>
                <w:szCs w:val="22"/>
              </w:rPr>
              <w:t>____________________________________</w:t>
            </w:r>
          </w:p>
        </w:tc>
      </w:tr>
      <w:tr w:rsidR="003A2A50" w14:paraId="6D184225" w14:textId="77777777" w:rsidTr="00754FAD">
        <w:tc>
          <w:tcPr>
            <w:tcW w:w="4673" w:type="dxa"/>
          </w:tcPr>
          <w:p w14:paraId="09C1DBC1" w14:textId="405D3BC2" w:rsidR="003A2A50" w:rsidRDefault="003A2A50" w:rsidP="00A61E5B">
            <w:pPr>
              <w:autoSpaceDE w:val="0"/>
              <w:autoSpaceDN w:val="0"/>
              <w:adjustRightInd w:val="0"/>
              <w:spacing w:before="0" w:after="120" w:line="276" w:lineRule="auto"/>
              <w:ind w:right="-357" w:firstLine="0"/>
              <w:rPr>
                <w:sz w:val="22"/>
                <w:szCs w:val="22"/>
              </w:rPr>
            </w:pPr>
            <w:r>
              <w:rPr>
                <w:sz w:val="22"/>
                <w:szCs w:val="22"/>
              </w:rPr>
              <w:t>___________________________________________</w:t>
            </w:r>
            <w:r w:rsidR="00754FAD">
              <w:rPr>
                <w:sz w:val="22"/>
                <w:szCs w:val="22"/>
              </w:rPr>
              <w:t>_</w:t>
            </w:r>
          </w:p>
        </w:tc>
      </w:tr>
      <w:tr w:rsidR="003A2A50" w14:paraId="1466A803" w14:textId="77777777" w:rsidTr="00754FAD">
        <w:tc>
          <w:tcPr>
            <w:tcW w:w="4673" w:type="dxa"/>
          </w:tcPr>
          <w:p w14:paraId="48EF0384" w14:textId="30A9AC75" w:rsidR="003A2A50" w:rsidRDefault="003A2A50" w:rsidP="00A61E5B">
            <w:pPr>
              <w:autoSpaceDE w:val="0"/>
              <w:autoSpaceDN w:val="0"/>
              <w:adjustRightInd w:val="0"/>
              <w:spacing w:before="0" w:after="120" w:line="276" w:lineRule="auto"/>
              <w:ind w:right="-357" w:firstLine="0"/>
              <w:rPr>
                <w:sz w:val="22"/>
                <w:szCs w:val="22"/>
              </w:rPr>
            </w:pPr>
            <w:r>
              <w:rPr>
                <w:sz w:val="22"/>
                <w:szCs w:val="22"/>
              </w:rPr>
              <w:t>E-mail:</w:t>
            </w:r>
            <w:r w:rsidR="00754FAD">
              <w:rPr>
                <w:sz w:val="22"/>
                <w:szCs w:val="22"/>
              </w:rPr>
              <w:t xml:space="preserve"> </w:t>
            </w:r>
            <w:r>
              <w:rPr>
                <w:sz w:val="22"/>
                <w:szCs w:val="22"/>
              </w:rPr>
              <w:t>_____________________________________</w:t>
            </w:r>
          </w:p>
        </w:tc>
      </w:tr>
    </w:tbl>
    <w:p w14:paraId="1503E020" w14:textId="77777777" w:rsidR="0026729C" w:rsidRDefault="0026729C" w:rsidP="0026729C">
      <w:pPr>
        <w:autoSpaceDE w:val="0"/>
        <w:autoSpaceDN w:val="0"/>
        <w:adjustRightInd w:val="0"/>
        <w:spacing w:before="0"/>
        <w:ind w:right="-360" w:firstLine="0"/>
        <w:rPr>
          <w:sz w:val="22"/>
          <w:szCs w:val="22"/>
        </w:rPr>
      </w:pPr>
    </w:p>
    <w:p w14:paraId="2E6CDD73" w14:textId="77777777" w:rsidR="0026729C" w:rsidRDefault="0026729C" w:rsidP="0026729C">
      <w:pPr>
        <w:autoSpaceDE w:val="0"/>
        <w:autoSpaceDN w:val="0"/>
        <w:adjustRightInd w:val="0"/>
        <w:spacing w:before="0"/>
        <w:ind w:right="-360" w:firstLine="0"/>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tblGrid>
      <w:tr w:rsidR="00A61E5B" w14:paraId="5FE5E754" w14:textId="77777777" w:rsidTr="00B57F7E">
        <w:tc>
          <w:tcPr>
            <w:tcW w:w="4673" w:type="dxa"/>
          </w:tcPr>
          <w:p w14:paraId="69AAFE2D" w14:textId="7F133A44" w:rsidR="00A61E5B" w:rsidRDefault="00A61E5B" w:rsidP="00A61E5B">
            <w:pPr>
              <w:autoSpaceDE w:val="0"/>
              <w:autoSpaceDN w:val="0"/>
              <w:adjustRightInd w:val="0"/>
              <w:spacing w:before="0" w:after="120" w:line="276" w:lineRule="auto"/>
              <w:ind w:right="-357" w:firstLine="0"/>
              <w:rPr>
                <w:sz w:val="22"/>
                <w:szCs w:val="22"/>
              </w:rPr>
            </w:pPr>
            <w:r w:rsidRPr="00B6124D">
              <w:rPr>
                <w:sz w:val="22"/>
                <w:szCs w:val="22"/>
              </w:rPr>
              <w:t>[</w:t>
            </w:r>
            <w:r w:rsidRPr="00A61E5B">
              <w:rPr>
                <w:b/>
                <w:bCs/>
                <w:sz w:val="22"/>
                <w:szCs w:val="22"/>
              </w:rPr>
              <w:t>INVESTOR</w:t>
            </w:r>
            <w:r w:rsidRPr="00B6124D">
              <w:rPr>
                <w:b/>
                <w:sz w:val="22"/>
                <w:szCs w:val="22"/>
              </w:rPr>
              <w:t>]</w:t>
            </w:r>
          </w:p>
        </w:tc>
      </w:tr>
      <w:tr w:rsidR="00A61E5B" w14:paraId="19B7E73A" w14:textId="77777777" w:rsidTr="00B57F7E">
        <w:tc>
          <w:tcPr>
            <w:tcW w:w="4673" w:type="dxa"/>
          </w:tcPr>
          <w:p w14:paraId="11E85956" w14:textId="77777777" w:rsidR="00A61E5B" w:rsidRDefault="00A61E5B" w:rsidP="00A61E5B">
            <w:pPr>
              <w:autoSpaceDE w:val="0"/>
              <w:autoSpaceDN w:val="0"/>
              <w:adjustRightInd w:val="0"/>
              <w:spacing w:before="0" w:after="120" w:line="276" w:lineRule="auto"/>
              <w:ind w:right="-357" w:firstLine="0"/>
              <w:rPr>
                <w:sz w:val="22"/>
                <w:szCs w:val="22"/>
              </w:rPr>
            </w:pPr>
            <w:r>
              <w:rPr>
                <w:sz w:val="22"/>
                <w:szCs w:val="22"/>
              </w:rPr>
              <w:t xml:space="preserve">By: </w:t>
            </w:r>
          </w:p>
        </w:tc>
      </w:tr>
      <w:tr w:rsidR="00A61E5B" w14:paraId="6E0AA6E6" w14:textId="77777777" w:rsidTr="00B57F7E">
        <w:tc>
          <w:tcPr>
            <w:tcW w:w="4673" w:type="dxa"/>
          </w:tcPr>
          <w:p w14:paraId="3F2E4B47" w14:textId="77777777" w:rsidR="00A61E5B" w:rsidRDefault="00A61E5B" w:rsidP="00A61E5B">
            <w:pPr>
              <w:autoSpaceDE w:val="0"/>
              <w:autoSpaceDN w:val="0"/>
              <w:adjustRightInd w:val="0"/>
              <w:spacing w:before="0" w:after="120" w:line="276" w:lineRule="auto"/>
              <w:ind w:right="-357" w:firstLine="0"/>
              <w:rPr>
                <w:sz w:val="22"/>
                <w:szCs w:val="22"/>
              </w:rPr>
            </w:pPr>
            <w:r w:rsidRPr="00B6124D">
              <w:rPr>
                <w:sz w:val="22"/>
                <w:szCs w:val="22"/>
              </w:rPr>
              <w:t>[</w:t>
            </w:r>
            <w:r w:rsidRPr="00B6124D">
              <w:rPr>
                <w:i/>
                <w:sz w:val="22"/>
                <w:szCs w:val="22"/>
              </w:rPr>
              <w:t>name</w:t>
            </w:r>
            <w:r w:rsidRPr="00B6124D">
              <w:rPr>
                <w:sz w:val="22"/>
                <w:szCs w:val="22"/>
              </w:rPr>
              <w:t>]</w:t>
            </w:r>
          </w:p>
        </w:tc>
      </w:tr>
      <w:tr w:rsidR="00A61E5B" w14:paraId="24A04DC7" w14:textId="77777777" w:rsidTr="00B57F7E">
        <w:tc>
          <w:tcPr>
            <w:tcW w:w="4673" w:type="dxa"/>
          </w:tcPr>
          <w:p w14:paraId="29B1CA08" w14:textId="77777777" w:rsidR="00A61E5B" w:rsidRDefault="00A61E5B" w:rsidP="00A61E5B">
            <w:pPr>
              <w:autoSpaceDE w:val="0"/>
              <w:autoSpaceDN w:val="0"/>
              <w:adjustRightInd w:val="0"/>
              <w:spacing w:before="0" w:after="120" w:line="276" w:lineRule="auto"/>
              <w:ind w:right="-357" w:firstLine="0"/>
              <w:rPr>
                <w:sz w:val="22"/>
                <w:szCs w:val="22"/>
              </w:rPr>
            </w:pPr>
            <w:r w:rsidRPr="00B6124D">
              <w:rPr>
                <w:sz w:val="22"/>
                <w:szCs w:val="22"/>
              </w:rPr>
              <w:t>[</w:t>
            </w:r>
            <w:r w:rsidRPr="00B6124D">
              <w:rPr>
                <w:i/>
                <w:sz w:val="22"/>
                <w:szCs w:val="22"/>
              </w:rPr>
              <w:t>title</w:t>
            </w:r>
            <w:r w:rsidRPr="00B6124D">
              <w:rPr>
                <w:sz w:val="22"/>
                <w:szCs w:val="22"/>
              </w:rPr>
              <w:t>]</w:t>
            </w:r>
          </w:p>
        </w:tc>
      </w:tr>
      <w:tr w:rsidR="00A61E5B" w14:paraId="5C0983F2" w14:textId="77777777" w:rsidTr="00B57F7E">
        <w:tc>
          <w:tcPr>
            <w:tcW w:w="4673" w:type="dxa"/>
          </w:tcPr>
          <w:p w14:paraId="34D49FF7" w14:textId="77777777" w:rsidR="00A61E5B" w:rsidRDefault="00A61E5B" w:rsidP="00A61E5B">
            <w:pPr>
              <w:autoSpaceDE w:val="0"/>
              <w:autoSpaceDN w:val="0"/>
              <w:adjustRightInd w:val="0"/>
              <w:spacing w:before="0" w:after="120" w:line="276" w:lineRule="auto"/>
              <w:ind w:right="-357" w:firstLine="0"/>
              <w:rPr>
                <w:sz w:val="22"/>
                <w:szCs w:val="22"/>
              </w:rPr>
            </w:pPr>
            <w:r>
              <w:rPr>
                <w:sz w:val="22"/>
                <w:szCs w:val="22"/>
              </w:rPr>
              <w:t>Address: ____________________________________</w:t>
            </w:r>
          </w:p>
        </w:tc>
      </w:tr>
      <w:tr w:rsidR="00A61E5B" w14:paraId="4ECB6746" w14:textId="77777777" w:rsidTr="00B57F7E">
        <w:tc>
          <w:tcPr>
            <w:tcW w:w="4673" w:type="dxa"/>
          </w:tcPr>
          <w:p w14:paraId="7417C41C" w14:textId="77777777" w:rsidR="00A61E5B" w:rsidRDefault="00A61E5B" w:rsidP="00A61E5B">
            <w:pPr>
              <w:autoSpaceDE w:val="0"/>
              <w:autoSpaceDN w:val="0"/>
              <w:adjustRightInd w:val="0"/>
              <w:spacing w:before="0" w:after="120" w:line="276" w:lineRule="auto"/>
              <w:ind w:right="-357" w:firstLine="0"/>
              <w:rPr>
                <w:sz w:val="22"/>
                <w:szCs w:val="22"/>
              </w:rPr>
            </w:pPr>
            <w:r>
              <w:rPr>
                <w:sz w:val="22"/>
                <w:szCs w:val="22"/>
              </w:rPr>
              <w:t>____________________________________________</w:t>
            </w:r>
          </w:p>
        </w:tc>
      </w:tr>
      <w:tr w:rsidR="00A61E5B" w14:paraId="4B0CA4CF" w14:textId="77777777" w:rsidTr="00B57F7E">
        <w:tc>
          <w:tcPr>
            <w:tcW w:w="4673" w:type="dxa"/>
          </w:tcPr>
          <w:p w14:paraId="6C45C111" w14:textId="77777777" w:rsidR="00A61E5B" w:rsidRDefault="00A61E5B" w:rsidP="00A61E5B">
            <w:pPr>
              <w:autoSpaceDE w:val="0"/>
              <w:autoSpaceDN w:val="0"/>
              <w:adjustRightInd w:val="0"/>
              <w:spacing w:before="0" w:after="120" w:line="276" w:lineRule="auto"/>
              <w:ind w:right="-357" w:firstLine="0"/>
              <w:rPr>
                <w:sz w:val="22"/>
                <w:szCs w:val="22"/>
              </w:rPr>
            </w:pPr>
            <w:r>
              <w:rPr>
                <w:sz w:val="22"/>
                <w:szCs w:val="22"/>
              </w:rPr>
              <w:t>E-mail: _____________________________________</w:t>
            </w:r>
          </w:p>
        </w:tc>
      </w:tr>
    </w:tbl>
    <w:p w14:paraId="4F256BF2" w14:textId="77777777" w:rsidR="00A61E5B" w:rsidRDefault="00A61E5B" w:rsidP="0026729C">
      <w:pPr>
        <w:autoSpaceDE w:val="0"/>
        <w:autoSpaceDN w:val="0"/>
        <w:adjustRightInd w:val="0"/>
        <w:spacing w:before="0"/>
        <w:ind w:right="-360" w:firstLine="0"/>
        <w:rPr>
          <w:sz w:val="22"/>
          <w:szCs w:val="22"/>
        </w:rPr>
      </w:pPr>
    </w:p>
    <w:p w14:paraId="08F66D11" w14:textId="77777777" w:rsidR="00442117" w:rsidRPr="00B6124D" w:rsidRDefault="00442117">
      <w:pPr>
        <w:rPr>
          <w:sz w:val="22"/>
          <w:szCs w:val="22"/>
        </w:rPr>
      </w:pPr>
    </w:p>
    <w:p w14:paraId="70C2E19A" w14:textId="77777777" w:rsidR="00442117" w:rsidRPr="00B6124D" w:rsidRDefault="00442117">
      <w:pPr>
        <w:rPr>
          <w:sz w:val="22"/>
          <w:szCs w:val="22"/>
        </w:rPr>
      </w:pPr>
    </w:p>
    <w:p w14:paraId="7F55B9E3" w14:textId="77777777" w:rsidR="00442117" w:rsidRPr="00B6124D" w:rsidRDefault="00442117">
      <w:pPr>
        <w:rPr>
          <w:sz w:val="22"/>
          <w:szCs w:val="22"/>
        </w:rPr>
      </w:pPr>
      <w:r w:rsidRPr="00B6124D">
        <w:rPr>
          <w:sz w:val="22"/>
          <w:szCs w:val="22"/>
        </w:rPr>
        <w:tab/>
      </w:r>
      <w:r w:rsidRPr="00B6124D">
        <w:rPr>
          <w:sz w:val="22"/>
          <w:szCs w:val="22"/>
        </w:rPr>
        <w:tab/>
      </w:r>
      <w:r w:rsidRPr="00B6124D">
        <w:rPr>
          <w:sz w:val="22"/>
          <w:szCs w:val="22"/>
        </w:rPr>
        <w:tab/>
      </w:r>
    </w:p>
    <w:sectPr w:rsidR="00442117" w:rsidRPr="00B6124D">
      <w:headerReference w:type="first" r:id="rId16"/>
      <w:footerReference w:type="first" r:id="rId17"/>
      <w:pgSz w:w="12240" w:h="15840" w:code="1"/>
      <w:pgMar w:top="1728" w:right="1080" w:bottom="1440" w:left="1440" w:header="1872" w:footer="93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770C8" w14:textId="77777777" w:rsidR="00994DD7" w:rsidRDefault="00994DD7">
      <w:r>
        <w:separator/>
      </w:r>
    </w:p>
  </w:endnote>
  <w:endnote w:type="continuationSeparator" w:id="0">
    <w:p w14:paraId="3230FD1B" w14:textId="77777777" w:rsidR="00994DD7" w:rsidRDefault="009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4A9BD" w14:textId="77777777" w:rsidR="009D7478" w:rsidRDefault="009D74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D99A" w14:textId="77777777" w:rsidR="00234BC8" w:rsidRDefault="00234BC8">
    <w:pPr>
      <w:pStyle w:val="Footer"/>
    </w:pPr>
    <w:r>
      <w:tab/>
      <w:t>-</w:t>
    </w:r>
    <w:r>
      <w:rPr>
        <w:rStyle w:val="PageNumber"/>
      </w:rPr>
      <w:fldChar w:fldCharType="begin"/>
    </w:r>
    <w:r>
      <w:rPr>
        <w:rStyle w:val="PageNumber"/>
      </w:rPr>
      <w:instrText xml:space="preserve"> PAGE </w:instrText>
    </w:r>
    <w:r>
      <w:rPr>
        <w:rStyle w:val="PageNumber"/>
      </w:rPr>
      <w:fldChar w:fldCharType="separate"/>
    </w:r>
    <w:r w:rsidR="006D6646">
      <w:rPr>
        <w:rStyle w:val="PageNumber"/>
        <w:noProof/>
      </w:rPr>
      <w:t>2</w:t>
    </w:r>
    <w:r>
      <w:rPr>
        <w:rStyle w:val="PageNumber"/>
      </w:rPr>
      <w:fldChar w:fldCharType="end"/>
    </w:r>
    <w:r>
      <w:rPr>
        <w:rStyle w:val="PageNumber"/>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ACE9" w14:textId="77777777" w:rsidR="00E95E34" w:rsidRPr="00E95E34" w:rsidRDefault="00E95E34" w:rsidP="00E95E34">
    <w:pPr>
      <w:shd w:val="clear" w:color="auto" w:fill="FFFFFF"/>
      <w:ind w:left="-720" w:right="-360" w:firstLine="0"/>
      <w:rPr>
        <w:color w:val="222222"/>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3EBE" w14:textId="77777777" w:rsidR="00C16C4D" w:rsidRPr="00E95E34" w:rsidRDefault="00C16C4D" w:rsidP="00C16C4D">
    <w:pPr>
      <w:shd w:val="clear" w:color="auto" w:fill="FFFFFF"/>
      <w:ind w:right="-360" w:firstLine="0"/>
      <w:rPr>
        <w:color w:val="222222"/>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8D9A9" w14:textId="77777777" w:rsidR="00994DD7" w:rsidRDefault="00994DD7">
      <w:r>
        <w:separator/>
      </w:r>
    </w:p>
  </w:footnote>
  <w:footnote w:type="continuationSeparator" w:id="0">
    <w:p w14:paraId="6C391BBE" w14:textId="77777777" w:rsidR="00994DD7" w:rsidRDefault="00994DD7">
      <w:r>
        <w:continuationSeparator/>
      </w:r>
    </w:p>
  </w:footnote>
  <w:footnote w:id="1">
    <w:p w14:paraId="0F15641E" w14:textId="77777777" w:rsidR="00101F0B" w:rsidRPr="00101F0B" w:rsidRDefault="00101F0B">
      <w:pPr>
        <w:pStyle w:val="FootnoteText"/>
        <w:rPr>
          <w:sz w:val="20"/>
          <w:lang w:val="et-EE"/>
        </w:rPr>
      </w:pPr>
      <w:r w:rsidRPr="00101F0B">
        <w:rPr>
          <w:rStyle w:val="FootnoteReference"/>
          <w:sz w:val="20"/>
        </w:rPr>
        <w:footnoteRef/>
      </w:r>
      <w:r w:rsidRPr="00101F0B">
        <w:rPr>
          <w:sz w:val="20"/>
        </w:rPr>
        <w:t xml:space="preserve"> NOTE TO DRAFT: </w:t>
      </w:r>
      <w:r w:rsidRPr="00101F0B">
        <w:rPr>
          <w:rStyle w:val="CommentReference"/>
          <w:sz w:val="20"/>
        </w:rPr>
        <w:t>If the Articles of Association set forth a higher minimum nominal value of a Share (for example EUR 1), the relevant value should be inserted herein and in the following example.</w:t>
      </w:r>
    </w:p>
  </w:footnote>
  <w:footnote w:id="2">
    <w:p w14:paraId="42AE8613" w14:textId="328622D5" w:rsidR="003C5BAD" w:rsidRPr="003C5BAD" w:rsidRDefault="003C5BAD">
      <w:pPr>
        <w:pStyle w:val="FootnoteText"/>
        <w:rPr>
          <w:sz w:val="20"/>
          <w:lang w:val="et-EE"/>
        </w:rPr>
      </w:pPr>
      <w:r w:rsidRPr="003C5BAD">
        <w:rPr>
          <w:rStyle w:val="FootnoteReference"/>
          <w:sz w:val="20"/>
        </w:rPr>
        <w:footnoteRef/>
      </w:r>
      <w:r w:rsidRPr="003C5BAD">
        <w:rPr>
          <w:sz w:val="20"/>
        </w:rPr>
        <w:t xml:space="preserve"> </w:t>
      </w:r>
      <w:bookmarkStart w:id="0" w:name="_Hlk21364229"/>
      <w:r w:rsidR="00572488" w:rsidRPr="00101F0B">
        <w:rPr>
          <w:sz w:val="20"/>
          <w:lang w:val="en-GB"/>
        </w:rPr>
        <w:t>NOTE TO DRAFT: In accordance with Estonian law, in an OÜ-type company, each shareholder holds only one share, whereas the shareholding held by each shareholder is determined by the nominal value of that share. So, in legal terms, instead of a shareholder holding, for example, 500 shares, a shareholder would actually be holding one share with a nominal value of EUR 5 (provided that the minimum nominal value of one share is the statutory default of EUR 0.01). Similarly, if a shareholder buys the share of another shareholder, the buying shareholder will not hold two shares but, instead, the nominal value of the buying shareholder’s share will be increased. So, if a shareholder holding a share with a nominal value of EUR 500 purchases the share of another shareholder with a nominal value of EUR 250, the purchasing shareholder will hold one share with a nominal value of EUR 750.  A shareholder may, however, hold several shares, if the shareholder holds different types of shares. For example, a shareholder may hold one common share with a nominal value of EUR 100 and one preferred share with a nominal value of EUR 250.  At the end of the day, the matter of OÜ-type shares being determined by their nominal value is a technical nuance than an issue of any practical importance. In practice, one could imagine that an OÜ-type company with a share capital of EUR 2,500 has 25</w:t>
      </w:r>
      <w:r w:rsidR="00572488">
        <w:rPr>
          <w:sz w:val="20"/>
          <w:lang w:val="en-GB"/>
        </w:rPr>
        <w:t>0</w:t>
      </w:r>
      <w:r w:rsidR="00572488" w:rsidRPr="00101F0B">
        <w:rPr>
          <w:sz w:val="20"/>
          <w:lang w:val="en-GB"/>
        </w:rPr>
        <w:t>,000 shares (provided that the minimum nominal value of one share is the statutory default of EUR 0.01).</w:t>
      </w:r>
      <w:bookmarkEnd w:id="0"/>
      <w:r w:rsidR="00572488" w:rsidRPr="00101F0B">
        <w:rPr>
          <w:sz w:val="20"/>
          <w:lang w:val="en-GB"/>
        </w:rPr>
        <w:t xml:space="preserve"> This Agreement refers to Shares in the plural but defines a “Share” as a notional value of the nominal value of a single share. This way, the Agreement is easier to read, but at the same time, follows the concept of OÜ-type shares being defined by their nominal value, as set forth in the law</w:t>
      </w:r>
      <w:r w:rsidR="00B6124D">
        <w:rPr>
          <w:sz w:val="20"/>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2154" w14:textId="77777777" w:rsidR="009D7478" w:rsidRDefault="009D7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8607" w14:textId="2A3D22EF" w:rsidR="00787D12" w:rsidRDefault="00787D12" w:rsidP="00787D12">
    <w:pPr>
      <w:pStyle w:val="Header"/>
      <w:jc w:val="right"/>
      <w:rPr>
        <w:b/>
      </w:rPr>
    </w:pPr>
    <w:r>
      <w:rPr>
        <w:b/>
      </w:rPr>
      <w:t xml:space="preserve">Version </w:t>
    </w:r>
    <w:r>
      <w:rPr>
        <w:b/>
        <w:bCs/>
      </w:rPr>
      <w:t>1.2</w:t>
    </w:r>
  </w:p>
  <w:p w14:paraId="031894D6" w14:textId="0671EC64" w:rsidR="00787D12" w:rsidRPr="0027570E" w:rsidRDefault="00787D12" w:rsidP="00787D12">
    <w:pPr>
      <w:pStyle w:val="Header"/>
      <w:jc w:val="center"/>
      <w:rPr>
        <w:b/>
      </w:rPr>
    </w:pPr>
    <w:r>
      <w:rPr>
        <w:b/>
      </w:rPr>
      <w:t>POST-MONEY VALUATION CAP</w:t>
    </w:r>
  </w:p>
  <w:p w14:paraId="6112847F" w14:textId="77777777" w:rsidR="00787D12" w:rsidRDefault="00787D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EB6A" w14:textId="5B866954" w:rsidR="0027570E" w:rsidRDefault="0027570E" w:rsidP="0027570E">
    <w:pPr>
      <w:pStyle w:val="Header"/>
      <w:jc w:val="right"/>
      <w:rPr>
        <w:b/>
      </w:rPr>
    </w:pPr>
    <w:r>
      <w:rPr>
        <w:b/>
      </w:rPr>
      <w:t xml:space="preserve">Version </w:t>
    </w:r>
    <w:r>
      <w:rPr>
        <w:b/>
        <w:bCs/>
      </w:rPr>
      <w:t>1.2</w:t>
    </w:r>
  </w:p>
  <w:p w14:paraId="769A24EF" w14:textId="4E83B3C6" w:rsidR="0027570E" w:rsidRPr="0027570E" w:rsidRDefault="0027570E" w:rsidP="0027570E">
    <w:pPr>
      <w:pStyle w:val="Header"/>
      <w:jc w:val="center"/>
      <w:rPr>
        <w:b/>
      </w:rPr>
    </w:pPr>
    <w:r>
      <w:rPr>
        <w:b/>
      </w:rPr>
      <w:t>POST-MONEY VALUATION CAP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DF460" w14:textId="77777777" w:rsidR="00234BC8" w:rsidRDefault="00234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26"/>
    <w:multiLevelType w:val="hybridMultilevel"/>
    <w:tmpl w:val="BEDA5F92"/>
    <w:lvl w:ilvl="0" w:tplc="BBD0D332">
      <w:start w:val="10"/>
      <w:numFmt w:val="bullet"/>
      <w:lvlText w:val=""/>
      <w:lvlJc w:val="left"/>
      <w:pPr>
        <w:ind w:left="2880" w:hanging="360"/>
      </w:pPr>
      <w:rPr>
        <w:rFonts w:ascii="Symbol" w:eastAsiaTheme="minorEastAsia" w:hAnsi="Symbol"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132C3341"/>
    <w:multiLevelType w:val="multilevel"/>
    <w:tmpl w:val="92AC6DD2"/>
    <w:lvl w:ilvl="0">
      <w:start w:val="1"/>
      <w:numFmt w:val="decimal"/>
      <w:pStyle w:val="Def2Heading1"/>
      <w:lvlText w:val="%1."/>
      <w:lvlJc w:val="left"/>
      <w:pPr>
        <w:tabs>
          <w:tab w:val="num" w:pos="1080"/>
        </w:tabs>
        <w:ind w:left="0" w:firstLine="720"/>
      </w:pPr>
      <w:rPr>
        <w:u w:val="none"/>
      </w:rPr>
    </w:lvl>
    <w:lvl w:ilvl="1">
      <w:start w:val="1"/>
      <w:numFmt w:val="lowerLetter"/>
      <w:pStyle w:val="Def2Heading2"/>
      <w:lvlText w:val="(%2)"/>
      <w:lvlJc w:val="left"/>
      <w:pPr>
        <w:tabs>
          <w:tab w:val="num" w:pos="1800"/>
        </w:tabs>
        <w:ind w:left="0" w:firstLine="1440"/>
      </w:pPr>
      <w:rPr>
        <w:u w:val="none"/>
      </w:rPr>
    </w:lvl>
    <w:lvl w:ilvl="2">
      <w:start w:val="1"/>
      <w:numFmt w:val="lowerRoman"/>
      <w:pStyle w:val="Def2Heading3"/>
      <w:lvlText w:val="(%3)"/>
      <w:lvlJc w:val="right"/>
      <w:pPr>
        <w:tabs>
          <w:tab w:val="num" w:pos="2880"/>
        </w:tabs>
        <w:ind w:left="0" w:firstLine="2520"/>
      </w:pPr>
      <w:rPr>
        <w:u w:val="none"/>
      </w:rPr>
    </w:lvl>
    <w:lvl w:ilvl="3">
      <w:start w:val="1"/>
      <w:numFmt w:val="decimal"/>
      <w:pStyle w:val="Def2Heading4"/>
      <w:lvlText w:val="(%4)"/>
      <w:lvlJc w:val="left"/>
      <w:pPr>
        <w:tabs>
          <w:tab w:val="num" w:pos="3240"/>
        </w:tabs>
        <w:ind w:left="0" w:firstLine="2880"/>
      </w:pPr>
      <w:rPr>
        <w:u w:val="none"/>
      </w:rPr>
    </w:lvl>
    <w:lvl w:ilvl="4">
      <w:start w:val="1"/>
      <w:numFmt w:val="lowerLetter"/>
      <w:pStyle w:val="Def2Heading5"/>
      <w:lvlText w:val="%5)"/>
      <w:lvlJc w:val="left"/>
      <w:pPr>
        <w:tabs>
          <w:tab w:val="num" w:pos="3960"/>
        </w:tabs>
        <w:ind w:left="0" w:firstLine="3600"/>
      </w:pPr>
      <w:rPr>
        <w:u w:val="none"/>
      </w:rPr>
    </w:lvl>
    <w:lvl w:ilvl="5">
      <w:start w:val="1"/>
      <w:numFmt w:val="lowerRoman"/>
      <w:lvlText w:val="%6)"/>
      <w:lvlJc w:val="right"/>
      <w:pPr>
        <w:tabs>
          <w:tab w:val="num" w:pos="5040"/>
        </w:tabs>
        <w:ind w:left="0" w:firstLine="4680"/>
      </w:pPr>
      <w:rPr>
        <w:u w:val="none"/>
      </w:rPr>
    </w:lvl>
    <w:lvl w:ilvl="6">
      <w:start w:val="1"/>
      <w:numFmt w:val="decimal"/>
      <w:lvlText w:val="%7)"/>
      <w:lvlJc w:val="left"/>
      <w:pPr>
        <w:tabs>
          <w:tab w:val="num" w:pos="5400"/>
        </w:tabs>
        <w:ind w:left="0" w:firstLine="5040"/>
      </w:pPr>
      <w:rPr>
        <w:u w:val="none"/>
      </w:rPr>
    </w:lvl>
    <w:lvl w:ilvl="7">
      <w:start w:val="1"/>
      <w:numFmt w:val="lowerLetter"/>
      <w:lvlText w:val="%8."/>
      <w:lvlJc w:val="left"/>
      <w:pPr>
        <w:tabs>
          <w:tab w:val="num" w:pos="6120"/>
        </w:tabs>
        <w:ind w:left="0" w:firstLine="5760"/>
      </w:pPr>
    </w:lvl>
    <w:lvl w:ilvl="8">
      <w:start w:val="1"/>
      <w:numFmt w:val="lowerRoman"/>
      <w:lvlText w:val="%9."/>
      <w:lvlJc w:val="left"/>
      <w:pPr>
        <w:tabs>
          <w:tab w:val="num" w:pos="3240"/>
        </w:tabs>
        <w:ind w:left="3240" w:hanging="360"/>
      </w:pPr>
    </w:lvl>
  </w:abstractNum>
  <w:abstractNum w:abstractNumId="2" w15:restartNumberingAfterBreak="0">
    <w:nsid w:val="2BF92201"/>
    <w:multiLevelType w:val="multilevel"/>
    <w:tmpl w:val="520AB7B6"/>
    <w:lvl w:ilvl="0">
      <w:start w:val="1"/>
      <w:numFmt w:val="decimal"/>
      <w:pStyle w:val="Heading1"/>
      <w:lvlText w:val="%1."/>
      <w:lvlJc w:val="left"/>
      <w:pPr>
        <w:tabs>
          <w:tab w:val="num" w:pos="1080"/>
        </w:tabs>
        <w:ind w:left="0" w:firstLine="720"/>
      </w:pPr>
      <w:rPr>
        <w:u w:val="none"/>
      </w:rPr>
    </w:lvl>
    <w:lvl w:ilvl="1">
      <w:start w:val="1"/>
      <w:numFmt w:val="lowerLetter"/>
      <w:pStyle w:val="Heading2"/>
      <w:lvlText w:val="(%2)"/>
      <w:lvlJc w:val="left"/>
      <w:pPr>
        <w:tabs>
          <w:tab w:val="num" w:pos="1800"/>
        </w:tabs>
        <w:ind w:left="0" w:firstLine="1440"/>
      </w:pPr>
      <w:rPr>
        <w:u w:val="none"/>
      </w:rPr>
    </w:lvl>
    <w:lvl w:ilvl="2">
      <w:start w:val="1"/>
      <w:numFmt w:val="lowerRoman"/>
      <w:pStyle w:val="Heading3"/>
      <w:lvlText w:val="(%3)"/>
      <w:lvlJc w:val="right"/>
      <w:pPr>
        <w:tabs>
          <w:tab w:val="num" w:pos="2880"/>
        </w:tabs>
        <w:ind w:left="0" w:firstLine="2520"/>
      </w:pPr>
      <w:rPr>
        <w:u w:val="none"/>
      </w:rPr>
    </w:lvl>
    <w:lvl w:ilvl="3">
      <w:start w:val="1"/>
      <w:numFmt w:val="decimal"/>
      <w:pStyle w:val="Heading4"/>
      <w:lvlText w:val="(%4)"/>
      <w:lvlJc w:val="left"/>
      <w:pPr>
        <w:tabs>
          <w:tab w:val="num" w:pos="3240"/>
        </w:tabs>
        <w:ind w:left="0" w:firstLine="2880"/>
      </w:pPr>
      <w:rPr>
        <w:u w:val="none"/>
      </w:rPr>
    </w:lvl>
    <w:lvl w:ilvl="4">
      <w:start w:val="1"/>
      <w:numFmt w:val="lowerLetter"/>
      <w:pStyle w:val="Heading5"/>
      <w:lvlText w:val="%5)"/>
      <w:lvlJc w:val="left"/>
      <w:pPr>
        <w:tabs>
          <w:tab w:val="num" w:pos="3960"/>
        </w:tabs>
        <w:ind w:left="0" w:firstLine="3600"/>
      </w:pPr>
    </w:lvl>
    <w:lvl w:ilvl="5">
      <w:start w:val="1"/>
      <w:numFmt w:val="lowerRoman"/>
      <w:pStyle w:val="Heading6"/>
      <w:lvlText w:val="%6)"/>
      <w:lvlJc w:val="right"/>
      <w:pPr>
        <w:tabs>
          <w:tab w:val="num" w:pos="5040"/>
        </w:tabs>
        <w:ind w:left="0" w:firstLine="4680"/>
      </w:pPr>
      <w:rPr>
        <w:u w:val="none"/>
      </w:rPr>
    </w:lvl>
    <w:lvl w:ilvl="6">
      <w:start w:val="1"/>
      <w:numFmt w:val="decimal"/>
      <w:pStyle w:val="Heading7"/>
      <w:lvlText w:val="%7)"/>
      <w:lvlJc w:val="left"/>
      <w:pPr>
        <w:tabs>
          <w:tab w:val="num" w:pos="5400"/>
        </w:tabs>
        <w:ind w:left="0" w:firstLine="5040"/>
      </w:pPr>
      <w:rPr>
        <w:u w:val="none"/>
      </w:rPr>
    </w:lvl>
    <w:lvl w:ilvl="7">
      <w:start w:val="1"/>
      <w:numFmt w:val="lowerLetter"/>
      <w:pStyle w:val="Heading8"/>
      <w:lvlText w:val="%8."/>
      <w:lvlJc w:val="left"/>
      <w:pPr>
        <w:tabs>
          <w:tab w:val="num" w:pos="6120"/>
        </w:tabs>
        <w:ind w:left="0" w:firstLine="5760"/>
      </w:pPr>
      <w:rPr>
        <w:u w:val="none"/>
      </w:rPr>
    </w:lvl>
    <w:lvl w:ilvl="8">
      <w:start w:val="1"/>
      <w:numFmt w:val="lowerRoman"/>
      <w:lvlText w:val="%9."/>
      <w:lvlJc w:val="left"/>
      <w:pPr>
        <w:tabs>
          <w:tab w:val="num" w:pos="3600"/>
        </w:tabs>
        <w:ind w:left="3240" w:hanging="360"/>
      </w:pPr>
      <w:rPr>
        <w:u w:val="none"/>
      </w:rPr>
    </w:lvl>
  </w:abstractNum>
  <w:abstractNum w:abstractNumId="3" w15:restartNumberingAfterBreak="0">
    <w:nsid w:val="359C4D38"/>
    <w:multiLevelType w:val="multilevel"/>
    <w:tmpl w:val="03366F32"/>
    <w:lvl w:ilvl="0">
      <w:start w:val="1"/>
      <w:numFmt w:val="decimal"/>
      <w:pStyle w:val="ExAHeading1"/>
      <w:lvlText w:val="%1."/>
      <w:lvlJc w:val="left"/>
      <w:pPr>
        <w:tabs>
          <w:tab w:val="num" w:pos="1080"/>
        </w:tabs>
        <w:ind w:left="0" w:firstLine="720"/>
      </w:pPr>
      <w:rPr>
        <w:u w:val="none"/>
      </w:rPr>
    </w:lvl>
    <w:lvl w:ilvl="1">
      <w:start w:val="1"/>
      <w:numFmt w:val="lowerLetter"/>
      <w:pStyle w:val="ExAHeading2"/>
      <w:lvlText w:val="(%2)"/>
      <w:lvlJc w:val="left"/>
      <w:pPr>
        <w:tabs>
          <w:tab w:val="num" w:pos="1800"/>
        </w:tabs>
        <w:ind w:left="0" w:firstLine="1440"/>
      </w:pPr>
      <w:rPr>
        <w:u w:val="none"/>
      </w:rPr>
    </w:lvl>
    <w:lvl w:ilvl="2">
      <w:start w:val="1"/>
      <w:numFmt w:val="lowerRoman"/>
      <w:pStyle w:val="ExAHeading3"/>
      <w:lvlText w:val="(%3)"/>
      <w:lvlJc w:val="right"/>
      <w:pPr>
        <w:tabs>
          <w:tab w:val="num" w:pos="2880"/>
        </w:tabs>
        <w:ind w:left="0" w:firstLine="2520"/>
      </w:pPr>
      <w:rPr>
        <w:u w:val="none"/>
      </w:rPr>
    </w:lvl>
    <w:lvl w:ilvl="3">
      <w:start w:val="1"/>
      <w:numFmt w:val="decimal"/>
      <w:pStyle w:val="ExAHeading4"/>
      <w:lvlText w:val="(%4)"/>
      <w:lvlJc w:val="left"/>
      <w:pPr>
        <w:tabs>
          <w:tab w:val="num" w:pos="3240"/>
        </w:tabs>
        <w:ind w:left="0" w:firstLine="2880"/>
      </w:pPr>
      <w:rPr>
        <w:u w:val="none"/>
      </w:rPr>
    </w:lvl>
    <w:lvl w:ilvl="4">
      <w:start w:val="1"/>
      <w:numFmt w:val="none"/>
      <w:pStyle w:val="ExAHeading5"/>
      <w:lvlText w:val="a)"/>
      <w:lvlJc w:val="left"/>
      <w:pPr>
        <w:tabs>
          <w:tab w:val="num" w:pos="3960"/>
        </w:tabs>
        <w:ind w:left="0" w:firstLine="3600"/>
      </w:pPr>
      <w:rPr>
        <w:u w:val="none"/>
      </w:rPr>
    </w:lvl>
    <w:lvl w:ilvl="5">
      <w:start w:val="1"/>
      <w:numFmt w:val="lowerRoman"/>
      <w:lvlText w:val="(%6)"/>
      <w:lvlJc w:val="right"/>
      <w:pPr>
        <w:tabs>
          <w:tab w:val="num" w:pos="4320"/>
        </w:tabs>
        <w:ind w:left="0" w:firstLine="3960"/>
      </w:pPr>
    </w:lvl>
    <w:lvl w:ilvl="6">
      <w:start w:val="1"/>
      <w:numFmt w:val="lowerRoman"/>
      <w:lvlText w:val="%7)"/>
      <w:lvlJc w:val="right"/>
      <w:pPr>
        <w:tabs>
          <w:tab w:val="num" w:pos="5040"/>
        </w:tabs>
        <w:ind w:left="0" w:firstLine="4680"/>
      </w:pPr>
    </w:lvl>
    <w:lvl w:ilvl="7">
      <w:start w:val="1"/>
      <w:numFmt w:val="decimal"/>
      <w:lvlText w:val="%8)"/>
      <w:lvlJc w:val="left"/>
      <w:pPr>
        <w:tabs>
          <w:tab w:val="num" w:pos="5400"/>
        </w:tabs>
        <w:ind w:left="0" w:firstLine="5040"/>
      </w:pPr>
    </w:lvl>
    <w:lvl w:ilvl="8">
      <w:start w:val="1"/>
      <w:numFmt w:val="lowerRoman"/>
      <w:lvlText w:val="%9."/>
      <w:lvlJc w:val="right"/>
      <w:pPr>
        <w:tabs>
          <w:tab w:val="num" w:pos="1584"/>
        </w:tabs>
        <w:ind w:left="1584" w:hanging="144"/>
      </w:pPr>
    </w:lvl>
  </w:abstractNum>
  <w:abstractNum w:abstractNumId="4" w15:restartNumberingAfterBreak="0">
    <w:nsid w:val="58EF0EEA"/>
    <w:multiLevelType w:val="multilevel"/>
    <w:tmpl w:val="8A12681E"/>
    <w:lvl w:ilvl="0">
      <w:start w:val="1"/>
      <w:numFmt w:val="decimal"/>
      <w:suff w:val="space"/>
      <w:lvlText w:val="SECTION %1."/>
      <w:lvlJc w:val="left"/>
      <w:pPr>
        <w:ind w:left="72" w:firstLine="648"/>
      </w:pPr>
    </w:lvl>
    <w:lvl w:ilvl="1">
      <w:start w:val="1"/>
      <w:numFmt w:val="lowerLetter"/>
      <w:lvlText w:val="(%2)"/>
      <w:lvlJc w:val="left"/>
      <w:pPr>
        <w:tabs>
          <w:tab w:val="num" w:pos="1800"/>
        </w:tabs>
        <w:ind w:left="0" w:firstLine="1440"/>
      </w:pPr>
    </w:lvl>
    <w:lvl w:ilvl="2">
      <w:start w:val="1"/>
      <w:numFmt w:val="lowerRoman"/>
      <w:lvlText w:val="(%3)"/>
      <w:lvlJc w:val="right"/>
      <w:pPr>
        <w:tabs>
          <w:tab w:val="num" w:pos="2880"/>
        </w:tabs>
        <w:ind w:left="0" w:firstLine="2520"/>
      </w:pPr>
    </w:lvl>
    <w:lvl w:ilvl="3">
      <w:start w:val="1"/>
      <w:numFmt w:val="upperLetter"/>
      <w:lvlText w:val="%4."/>
      <w:lvlJc w:val="left"/>
      <w:pPr>
        <w:tabs>
          <w:tab w:val="num" w:pos="3240"/>
        </w:tabs>
        <w:ind w:left="0" w:firstLine="288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5DC6B42"/>
    <w:multiLevelType w:val="hybridMultilevel"/>
    <w:tmpl w:val="65DE8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C8109D"/>
    <w:multiLevelType w:val="hybridMultilevel"/>
    <w:tmpl w:val="245C1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A56A9E"/>
    <w:multiLevelType w:val="hybridMultilevel"/>
    <w:tmpl w:val="1E0E71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051605931">
    <w:abstractNumId w:val="1"/>
  </w:num>
  <w:num w:numId="2" w16cid:durableId="841048694">
    <w:abstractNumId w:val="1"/>
  </w:num>
  <w:num w:numId="3" w16cid:durableId="1247154231">
    <w:abstractNumId w:val="1"/>
  </w:num>
  <w:num w:numId="4" w16cid:durableId="1889678277">
    <w:abstractNumId w:val="1"/>
  </w:num>
  <w:num w:numId="5" w16cid:durableId="395516948">
    <w:abstractNumId w:val="1"/>
  </w:num>
  <w:num w:numId="6" w16cid:durableId="584146215">
    <w:abstractNumId w:val="3"/>
  </w:num>
  <w:num w:numId="7" w16cid:durableId="2070494294">
    <w:abstractNumId w:val="3"/>
  </w:num>
  <w:num w:numId="8" w16cid:durableId="426344427">
    <w:abstractNumId w:val="3"/>
  </w:num>
  <w:num w:numId="9" w16cid:durableId="990908022">
    <w:abstractNumId w:val="3"/>
  </w:num>
  <w:num w:numId="10" w16cid:durableId="528569904">
    <w:abstractNumId w:val="3"/>
  </w:num>
  <w:num w:numId="11" w16cid:durableId="906526044">
    <w:abstractNumId w:val="2"/>
  </w:num>
  <w:num w:numId="12" w16cid:durableId="1298758804">
    <w:abstractNumId w:val="2"/>
  </w:num>
  <w:num w:numId="13" w16cid:durableId="1092975859">
    <w:abstractNumId w:val="2"/>
  </w:num>
  <w:num w:numId="14" w16cid:durableId="1456674488">
    <w:abstractNumId w:val="2"/>
  </w:num>
  <w:num w:numId="15" w16cid:durableId="1900241285">
    <w:abstractNumId w:val="2"/>
  </w:num>
  <w:num w:numId="16" w16cid:durableId="1106198356">
    <w:abstractNumId w:val="2"/>
  </w:num>
  <w:num w:numId="17" w16cid:durableId="1507787771">
    <w:abstractNumId w:val="2"/>
  </w:num>
  <w:num w:numId="18" w16cid:durableId="1224830701">
    <w:abstractNumId w:val="2"/>
  </w:num>
  <w:num w:numId="19" w16cid:durableId="1001855355">
    <w:abstractNumId w:val="4"/>
  </w:num>
  <w:num w:numId="20" w16cid:durableId="2125540928">
    <w:abstractNumId w:val="5"/>
  </w:num>
  <w:num w:numId="21" w16cid:durableId="2114089488">
    <w:abstractNumId w:val="6"/>
  </w:num>
  <w:num w:numId="22" w16cid:durableId="393967066">
    <w:abstractNumId w:val="7"/>
  </w:num>
  <w:num w:numId="23" w16cid:durableId="1630624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n-GB" w:vendorID="64" w:dllVersion="4096" w:nlCheck="1" w:checkStyle="0"/>
  <w:activeWritingStyle w:appName="MSWord" w:lang="en-GB"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215"/>
    <w:rsid w:val="0000047D"/>
    <w:rsid w:val="000020B7"/>
    <w:rsid w:val="0000434F"/>
    <w:rsid w:val="00005C41"/>
    <w:rsid w:val="000067B6"/>
    <w:rsid w:val="00015A26"/>
    <w:rsid w:val="00015F2F"/>
    <w:rsid w:val="00017D71"/>
    <w:rsid w:val="0002405E"/>
    <w:rsid w:val="00026B91"/>
    <w:rsid w:val="00026F59"/>
    <w:rsid w:val="00030E5D"/>
    <w:rsid w:val="00035998"/>
    <w:rsid w:val="00037BCE"/>
    <w:rsid w:val="0004203A"/>
    <w:rsid w:val="00050D76"/>
    <w:rsid w:val="0005422D"/>
    <w:rsid w:val="000645DF"/>
    <w:rsid w:val="00065468"/>
    <w:rsid w:val="000673AF"/>
    <w:rsid w:val="00067D74"/>
    <w:rsid w:val="00070B9A"/>
    <w:rsid w:val="0007209F"/>
    <w:rsid w:val="000832E9"/>
    <w:rsid w:val="00083A70"/>
    <w:rsid w:val="00084F9B"/>
    <w:rsid w:val="000852A4"/>
    <w:rsid w:val="00092136"/>
    <w:rsid w:val="00094F9B"/>
    <w:rsid w:val="000965CD"/>
    <w:rsid w:val="00097D2D"/>
    <w:rsid w:val="000A2F69"/>
    <w:rsid w:val="000A49E2"/>
    <w:rsid w:val="000A50BA"/>
    <w:rsid w:val="000A64EA"/>
    <w:rsid w:val="000A7801"/>
    <w:rsid w:val="000B0F54"/>
    <w:rsid w:val="000B0F97"/>
    <w:rsid w:val="000B11B2"/>
    <w:rsid w:val="000B1A7F"/>
    <w:rsid w:val="000B6A09"/>
    <w:rsid w:val="000C14B2"/>
    <w:rsid w:val="000C3304"/>
    <w:rsid w:val="000C4EE9"/>
    <w:rsid w:val="000C71F1"/>
    <w:rsid w:val="000D6F63"/>
    <w:rsid w:val="000D718B"/>
    <w:rsid w:val="000E11D6"/>
    <w:rsid w:val="000E161F"/>
    <w:rsid w:val="000E2DC7"/>
    <w:rsid w:val="000F2B53"/>
    <w:rsid w:val="000F565A"/>
    <w:rsid w:val="000F790E"/>
    <w:rsid w:val="00101F0B"/>
    <w:rsid w:val="0010692C"/>
    <w:rsid w:val="00110F04"/>
    <w:rsid w:val="00114099"/>
    <w:rsid w:val="0011768E"/>
    <w:rsid w:val="001239FA"/>
    <w:rsid w:val="00127757"/>
    <w:rsid w:val="0013041C"/>
    <w:rsid w:val="0013066C"/>
    <w:rsid w:val="001309B5"/>
    <w:rsid w:val="00131DA0"/>
    <w:rsid w:val="00132B42"/>
    <w:rsid w:val="0013441C"/>
    <w:rsid w:val="001376FC"/>
    <w:rsid w:val="00137D3A"/>
    <w:rsid w:val="00140E8C"/>
    <w:rsid w:val="00141AEC"/>
    <w:rsid w:val="00141B01"/>
    <w:rsid w:val="001422AF"/>
    <w:rsid w:val="0014368A"/>
    <w:rsid w:val="001458DE"/>
    <w:rsid w:val="00157609"/>
    <w:rsid w:val="001649DE"/>
    <w:rsid w:val="00173695"/>
    <w:rsid w:val="0018000B"/>
    <w:rsid w:val="0018100B"/>
    <w:rsid w:val="00181A55"/>
    <w:rsid w:val="00181C15"/>
    <w:rsid w:val="00182221"/>
    <w:rsid w:val="00187F6B"/>
    <w:rsid w:val="001915B5"/>
    <w:rsid w:val="00196D16"/>
    <w:rsid w:val="001A13BD"/>
    <w:rsid w:val="001A7F23"/>
    <w:rsid w:val="001B0AFA"/>
    <w:rsid w:val="001B2399"/>
    <w:rsid w:val="001B7588"/>
    <w:rsid w:val="001C2C79"/>
    <w:rsid w:val="001C3A83"/>
    <w:rsid w:val="001C4481"/>
    <w:rsid w:val="001C73AE"/>
    <w:rsid w:val="001D2B84"/>
    <w:rsid w:val="001D42F9"/>
    <w:rsid w:val="001D7B14"/>
    <w:rsid w:val="001E1542"/>
    <w:rsid w:val="001E1591"/>
    <w:rsid w:val="001E36BE"/>
    <w:rsid w:val="001E4E1F"/>
    <w:rsid w:val="001E571A"/>
    <w:rsid w:val="001E746A"/>
    <w:rsid w:val="001F013A"/>
    <w:rsid w:val="001F4D9C"/>
    <w:rsid w:val="001F6176"/>
    <w:rsid w:val="002022C3"/>
    <w:rsid w:val="002033E2"/>
    <w:rsid w:val="002045EB"/>
    <w:rsid w:val="00204DB9"/>
    <w:rsid w:val="00205089"/>
    <w:rsid w:val="00205B62"/>
    <w:rsid w:val="00207809"/>
    <w:rsid w:val="002145D9"/>
    <w:rsid w:val="00220FF6"/>
    <w:rsid w:val="002218A7"/>
    <w:rsid w:val="00222438"/>
    <w:rsid w:val="0022483D"/>
    <w:rsid w:val="0023048A"/>
    <w:rsid w:val="002327D9"/>
    <w:rsid w:val="00234B17"/>
    <w:rsid w:val="00234BC8"/>
    <w:rsid w:val="00235C55"/>
    <w:rsid w:val="0024582E"/>
    <w:rsid w:val="00247BFD"/>
    <w:rsid w:val="00251B3B"/>
    <w:rsid w:val="00253AA3"/>
    <w:rsid w:val="00253FA8"/>
    <w:rsid w:val="002600BF"/>
    <w:rsid w:val="002618FD"/>
    <w:rsid w:val="00262C48"/>
    <w:rsid w:val="00262F53"/>
    <w:rsid w:val="00264D96"/>
    <w:rsid w:val="0026533E"/>
    <w:rsid w:val="00265D10"/>
    <w:rsid w:val="0026729C"/>
    <w:rsid w:val="00273383"/>
    <w:rsid w:val="0027570E"/>
    <w:rsid w:val="00275B5C"/>
    <w:rsid w:val="00275B90"/>
    <w:rsid w:val="00275C10"/>
    <w:rsid w:val="00277B5D"/>
    <w:rsid w:val="00281FE4"/>
    <w:rsid w:val="002837EA"/>
    <w:rsid w:val="002858A4"/>
    <w:rsid w:val="002874F8"/>
    <w:rsid w:val="002916FE"/>
    <w:rsid w:val="002969CB"/>
    <w:rsid w:val="00296F4A"/>
    <w:rsid w:val="002A0BA4"/>
    <w:rsid w:val="002A1851"/>
    <w:rsid w:val="002A41B8"/>
    <w:rsid w:val="002A5D1A"/>
    <w:rsid w:val="002B4850"/>
    <w:rsid w:val="002B74F6"/>
    <w:rsid w:val="002C16BC"/>
    <w:rsid w:val="002C27C0"/>
    <w:rsid w:val="002C695C"/>
    <w:rsid w:val="002D2A7F"/>
    <w:rsid w:val="002D2F8A"/>
    <w:rsid w:val="002E08A7"/>
    <w:rsid w:val="002E0980"/>
    <w:rsid w:val="002E1D6F"/>
    <w:rsid w:val="002E28C0"/>
    <w:rsid w:val="002E3354"/>
    <w:rsid w:val="002E50FD"/>
    <w:rsid w:val="002E6858"/>
    <w:rsid w:val="002F275A"/>
    <w:rsid w:val="002F2C24"/>
    <w:rsid w:val="002F41E3"/>
    <w:rsid w:val="002F59DC"/>
    <w:rsid w:val="0030091A"/>
    <w:rsid w:val="00301C24"/>
    <w:rsid w:val="00304BD7"/>
    <w:rsid w:val="003056CA"/>
    <w:rsid w:val="003124A1"/>
    <w:rsid w:val="00320650"/>
    <w:rsid w:val="00320861"/>
    <w:rsid w:val="0032188C"/>
    <w:rsid w:val="0032745F"/>
    <w:rsid w:val="0033033B"/>
    <w:rsid w:val="00331468"/>
    <w:rsid w:val="00331EC1"/>
    <w:rsid w:val="003376F7"/>
    <w:rsid w:val="0034131E"/>
    <w:rsid w:val="003432BC"/>
    <w:rsid w:val="00343912"/>
    <w:rsid w:val="00347B1F"/>
    <w:rsid w:val="003515B2"/>
    <w:rsid w:val="00360F2C"/>
    <w:rsid w:val="003611E1"/>
    <w:rsid w:val="00365244"/>
    <w:rsid w:val="00367EEB"/>
    <w:rsid w:val="003737A9"/>
    <w:rsid w:val="0037739C"/>
    <w:rsid w:val="0038184B"/>
    <w:rsid w:val="00382CDB"/>
    <w:rsid w:val="00384D51"/>
    <w:rsid w:val="0038631F"/>
    <w:rsid w:val="00392FD7"/>
    <w:rsid w:val="00394348"/>
    <w:rsid w:val="00394E56"/>
    <w:rsid w:val="00396A8A"/>
    <w:rsid w:val="003A04FF"/>
    <w:rsid w:val="003A19A3"/>
    <w:rsid w:val="003A2A50"/>
    <w:rsid w:val="003A37AA"/>
    <w:rsid w:val="003A513D"/>
    <w:rsid w:val="003B050F"/>
    <w:rsid w:val="003B0797"/>
    <w:rsid w:val="003B1A1D"/>
    <w:rsid w:val="003C0398"/>
    <w:rsid w:val="003C2B4D"/>
    <w:rsid w:val="003C326F"/>
    <w:rsid w:val="003C339B"/>
    <w:rsid w:val="003C3573"/>
    <w:rsid w:val="003C3ACA"/>
    <w:rsid w:val="003C3F46"/>
    <w:rsid w:val="003C5BAD"/>
    <w:rsid w:val="003C7D77"/>
    <w:rsid w:val="003D010D"/>
    <w:rsid w:val="003D15ED"/>
    <w:rsid w:val="003D1AE3"/>
    <w:rsid w:val="003D5B2A"/>
    <w:rsid w:val="003E245C"/>
    <w:rsid w:val="003F1633"/>
    <w:rsid w:val="003F2477"/>
    <w:rsid w:val="003F2D90"/>
    <w:rsid w:val="003F5CA0"/>
    <w:rsid w:val="003F79B2"/>
    <w:rsid w:val="0040021D"/>
    <w:rsid w:val="0040034A"/>
    <w:rsid w:val="00401B73"/>
    <w:rsid w:val="00403845"/>
    <w:rsid w:val="00404D74"/>
    <w:rsid w:val="004061DC"/>
    <w:rsid w:val="0040726D"/>
    <w:rsid w:val="00410836"/>
    <w:rsid w:val="00412847"/>
    <w:rsid w:val="004137CB"/>
    <w:rsid w:val="0041535D"/>
    <w:rsid w:val="00427038"/>
    <w:rsid w:val="004302D3"/>
    <w:rsid w:val="00430D18"/>
    <w:rsid w:val="0043111A"/>
    <w:rsid w:val="00431AB2"/>
    <w:rsid w:val="004356F1"/>
    <w:rsid w:val="00435C52"/>
    <w:rsid w:val="004360A1"/>
    <w:rsid w:val="00437F28"/>
    <w:rsid w:val="00441CD8"/>
    <w:rsid w:val="00442117"/>
    <w:rsid w:val="00445BED"/>
    <w:rsid w:val="004505C0"/>
    <w:rsid w:val="004514BE"/>
    <w:rsid w:val="00452BF7"/>
    <w:rsid w:val="00455384"/>
    <w:rsid w:val="00457020"/>
    <w:rsid w:val="0045748A"/>
    <w:rsid w:val="004579FB"/>
    <w:rsid w:val="004625DF"/>
    <w:rsid w:val="00464DFC"/>
    <w:rsid w:val="00466AD4"/>
    <w:rsid w:val="004719A9"/>
    <w:rsid w:val="004735FA"/>
    <w:rsid w:val="00481E0D"/>
    <w:rsid w:val="00487ABA"/>
    <w:rsid w:val="00487CEB"/>
    <w:rsid w:val="00490C3C"/>
    <w:rsid w:val="0049149B"/>
    <w:rsid w:val="00493AD9"/>
    <w:rsid w:val="0049545C"/>
    <w:rsid w:val="00496041"/>
    <w:rsid w:val="004A008C"/>
    <w:rsid w:val="004A216F"/>
    <w:rsid w:val="004A32E1"/>
    <w:rsid w:val="004A3DF3"/>
    <w:rsid w:val="004A40A0"/>
    <w:rsid w:val="004A4F45"/>
    <w:rsid w:val="004A6477"/>
    <w:rsid w:val="004A77F6"/>
    <w:rsid w:val="004B04D7"/>
    <w:rsid w:val="004B53E3"/>
    <w:rsid w:val="004C38B7"/>
    <w:rsid w:val="004C45AF"/>
    <w:rsid w:val="004D3273"/>
    <w:rsid w:val="004D6B8B"/>
    <w:rsid w:val="004E1858"/>
    <w:rsid w:val="004E422C"/>
    <w:rsid w:val="004E669A"/>
    <w:rsid w:val="004F280F"/>
    <w:rsid w:val="004F631E"/>
    <w:rsid w:val="004F7EC9"/>
    <w:rsid w:val="005010F1"/>
    <w:rsid w:val="005011B2"/>
    <w:rsid w:val="00503858"/>
    <w:rsid w:val="00505841"/>
    <w:rsid w:val="00511626"/>
    <w:rsid w:val="0051211E"/>
    <w:rsid w:val="00515627"/>
    <w:rsid w:val="005203D9"/>
    <w:rsid w:val="0052095D"/>
    <w:rsid w:val="005215D5"/>
    <w:rsid w:val="00522EBA"/>
    <w:rsid w:val="00524404"/>
    <w:rsid w:val="00525B95"/>
    <w:rsid w:val="0053032A"/>
    <w:rsid w:val="005334B3"/>
    <w:rsid w:val="00536FBE"/>
    <w:rsid w:val="00537663"/>
    <w:rsid w:val="005377E9"/>
    <w:rsid w:val="0054090C"/>
    <w:rsid w:val="0054283E"/>
    <w:rsid w:val="00543E23"/>
    <w:rsid w:val="00547859"/>
    <w:rsid w:val="00551522"/>
    <w:rsid w:val="00553D96"/>
    <w:rsid w:val="00554BE4"/>
    <w:rsid w:val="0056519B"/>
    <w:rsid w:val="00565646"/>
    <w:rsid w:val="00567852"/>
    <w:rsid w:val="00572488"/>
    <w:rsid w:val="00576CCC"/>
    <w:rsid w:val="00584237"/>
    <w:rsid w:val="005871D8"/>
    <w:rsid w:val="00593309"/>
    <w:rsid w:val="00596DB7"/>
    <w:rsid w:val="005A7B41"/>
    <w:rsid w:val="005B4022"/>
    <w:rsid w:val="005B6D5D"/>
    <w:rsid w:val="005C17C0"/>
    <w:rsid w:val="005C5CE5"/>
    <w:rsid w:val="005C6007"/>
    <w:rsid w:val="005C6652"/>
    <w:rsid w:val="005C782F"/>
    <w:rsid w:val="005D1EF4"/>
    <w:rsid w:val="005D45E4"/>
    <w:rsid w:val="005D4CBC"/>
    <w:rsid w:val="005D6F35"/>
    <w:rsid w:val="005E1B14"/>
    <w:rsid w:val="005E315A"/>
    <w:rsid w:val="005E3412"/>
    <w:rsid w:val="005E5934"/>
    <w:rsid w:val="005E76BC"/>
    <w:rsid w:val="005E7877"/>
    <w:rsid w:val="005F04DB"/>
    <w:rsid w:val="005F0A92"/>
    <w:rsid w:val="005F2761"/>
    <w:rsid w:val="005F7720"/>
    <w:rsid w:val="00604525"/>
    <w:rsid w:val="006065B3"/>
    <w:rsid w:val="00612BAB"/>
    <w:rsid w:val="00612E45"/>
    <w:rsid w:val="006150FE"/>
    <w:rsid w:val="00616053"/>
    <w:rsid w:val="00617B47"/>
    <w:rsid w:val="006205EC"/>
    <w:rsid w:val="00623E08"/>
    <w:rsid w:val="0062426D"/>
    <w:rsid w:val="006321FB"/>
    <w:rsid w:val="00633032"/>
    <w:rsid w:val="0063377A"/>
    <w:rsid w:val="00633884"/>
    <w:rsid w:val="00634D37"/>
    <w:rsid w:val="0064012E"/>
    <w:rsid w:val="006420F0"/>
    <w:rsid w:val="00643A61"/>
    <w:rsid w:val="00645EEA"/>
    <w:rsid w:val="00646FBC"/>
    <w:rsid w:val="00647219"/>
    <w:rsid w:val="00647694"/>
    <w:rsid w:val="00654695"/>
    <w:rsid w:val="00654811"/>
    <w:rsid w:val="006549E5"/>
    <w:rsid w:val="0065566D"/>
    <w:rsid w:val="006570CB"/>
    <w:rsid w:val="006575D9"/>
    <w:rsid w:val="006611CB"/>
    <w:rsid w:val="006618DD"/>
    <w:rsid w:val="0066278D"/>
    <w:rsid w:val="00662A60"/>
    <w:rsid w:val="00662F4B"/>
    <w:rsid w:val="006635BB"/>
    <w:rsid w:val="006645E8"/>
    <w:rsid w:val="006704FD"/>
    <w:rsid w:val="00670B09"/>
    <w:rsid w:val="0067156D"/>
    <w:rsid w:val="00676F84"/>
    <w:rsid w:val="00677043"/>
    <w:rsid w:val="00677465"/>
    <w:rsid w:val="00680545"/>
    <w:rsid w:val="006867E1"/>
    <w:rsid w:val="006931E0"/>
    <w:rsid w:val="006A1D97"/>
    <w:rsid w:val="006A2AAC"/>
    <w:rsid w:val="006A52B3"/>
    <w:rsid w:val="006A65C3"/>
    <w:rsid w:val="006B3015"/>
    <w:rsid w:val="006B32D8"/>
    <w:rsid w:val="006B5D81"/>
    <w:rsid w:val="006B641D"/>
    <w:rsid w:val="006B7D0B"/>
    <w:rsid w:val="006C0834"/>
    <w:rsid w:val="006C1F13"/>
    <w:rsid w:val="006C22B2"/>
    <w:rsid w:val="006C2D18"/>
    <w:rsid w:val="006C526F"/>
    <w:rsid w:val="006C76CD"/>
    <w:rsid w:val="006C7775"/>
    <w:rsid w:val="006D123B"/>
    <w:rsid w:val="006D30BF"/>
    <w:rsid w:val="006D5242"/>
    <w:rsid w:val="006D6646"/>
    <w:rsid w:val="006D76E2"/>
    <w:rsid w:val="006E03BB"/>
    <w:rsid w:val="006E2469"/>
    <w:rsid w:val="006E33AE"/>
    <w:rsid w:val="006E37B8"/>
    <w:rsid w:val="006E4278"/>
    <w:rsid w:val="006E5A22"/>
    <w:rsid w:val="006F0751"/>
    <w:rsid w:val="006F0C27"/>
    <w:rsid w:val="006F37FE"/>
    <w:rsid w:val="006F4A1F"/>
    <w:rsid w:val="006F5E10"/>
    <w:rsid w:val="006F7489"/>
    <w:rsid w:val="006F78E0"/>
    <w:rsid w:val="006F7E4B"/>
    <w:rsid w:val="00700492"/>
    <w:rsid w:val="007010C4"/>
    <w:rsid w:val="00701E48"/>
    <w:rsid w:val="00703694"/>
    <w:rsid w:val="00703CB7"/>
    <w:rsid w:val="00704B1D"/>
    <w:rsid w:val="00704DF0"/>
    <w:rsid w:val="00706FFC"/>
    <w:rsid w:val="00707259"/>
    <w:rsid w:val="007107B6"/>
    <w:rsid w:val="00714395"/>
    <w:rsid w:val="0071558A"/>
    <w:rsid w:val="00727B6B"/>
    <w:rsid w:val="007307DB"/>
    <w:rsid w:val="00732B00"/>
    <w:rsid w:val="007334B4"/>
    <w:rsid w:val="00734A96"/>
    <w:rsid w:val="0074081B"/>
    <w:rsid w:val="00743541"/>
    <w:rsid w:val="00745C4A"/>
    <w:rsid w:val="00745FCF"/>
    <w:rsid w:val="0075095E"/>
    <w:rsid w:val="00752AF8"/>
    <w:rsid w:val="00754275"/>
    <w:rsid w:val="00754FAD"/>
    <w:rsid w:val="00755458"/>
    <w:rsid w:val="007561E8"/>
    <w:rsid w:val="00761860"/>
    <w:rsid w:val="00762D75"/>
    <w:rsid w:val="00763C0E"/>
    <w:rsid w:val="00764B64"/>
    <w:rsid w:val="007656BF"/>
    <w:rsid w:val="00774FDF"/>
    <w:rsid w:val="007757C8"/>
    <w:rsid w:val="00775E23"/>
    <w:rsid w:val="00775FCF"/>
    <w:rsid w:val="0078111B"/>
    <w:rsid w:val="007813C9"/>
    <w:rsid w:val="00784669"/>
    <w:rsid w:val="00785568"/>
    <w:rsid w:val="007866A3"/>
    <w:rsid w:val="0078683A"/>
    <w:rsid w:val="007869D7"/>
    <w:rsid w:val="00787D12"/>
    <w:rsid w:val="00791D7C"/>
    <w:rsid w:val="00792181"/>
    <w:rsid w:val="00792DE3"/>
    <w:rsid w:val="0079399C"/>
    <w:rsid w:val="00795EE8"/>
    <w:rsid w:val="00796CBE"/>
    <w:rsid w:val="007A609D"/>
    <w:rsid w:val="007A78A1"/>
    <w:rsid w:val="007B1802"/>
    <w:rsid w:val="007B32D0"/>
    <w:rsid w:val="007C278C"/>
    <w:rsid w:val="007C29F3"/>
    <w:rsid w:val="007C41E3"/>
    <w:rsid w:val="007C4A8E"/>
    <w:rsid w:val="007C7B47"/>
    <w:rsid w:val="007D1885"/>
    <w:rsid w:val="007D2CE1"/>
    <w:rsid w:val="007E2BD4"/>
    <w:rsid w:val="007E2C2A"/>
    <w:rsid w:val="007E56EB"/>
    <w:rsid w:val="007E7566"/>
    <w:rsid w:val="007F06E2"/>
    <w:rsid w:val="00801848"/>
    <w:rsid w:val="00805385"/>
    <w:rsid w:val="00805EED"/>
    <w:rsid w:val="008116C7"/>
    <w:rsid w:val="00813E3C"/>
    <w:rsid w:val="0081458A"/>
    <w:rsid w:val="00817577"/>
    <w:rsid w:val="00827193"/>
    <w:rsid w:val="00830210"/>
    <w:rsid w:val="00831247"/>
    <w:rsid w:val="00833A7C"/>
    <w:rsid w:val="00833E4F"/>
    <w:rsid w:val="00834463"/>
    <w:rsid w:val="00843FC4"/>
    <w:rsid w:val="008443D4"/>
    <w:rsid w:val="00844808"/>
    <w:rsid w:val="008453B7"/>
    <w:rsid w:val="00846D58"/>
    <w:rsid w:val="00850D12"/>
    <w:rsid w:val="00852431"/>
    <w:rsid w:val="00853C0F"/>
    <w:rsid w:val="00855B4A"/>
    <w:rsid w:val="0085725A"/>
    <w:rsid w:val="00860F08"/>
    <w:rsid w:val="00861B01"/>
    <w:rsid w:val="00867F11"/>
    <w:rsid w:val="008736D2"/>
    <w:rsid w:val="00873CF1"/>
    <w:rsid w:val="00875992"/>
    <w:rsid w:val="00877E9F"/>
    <w:rsid w:val="00881327"/>
    <w:rsid w:val="00884334"/>
    <w:rsid w:val="00885214"/>
    <w:rsid w:val="00894423"/>
    <w:rsid w:val="00894F24"/>
    <w:rsid w:val="00897C2A"/>
    <w:rsid w:val="00897EFB"/>
    <w:rsid w:val="008A0DC4"/>
    <w:rsid w:val="008A3D48"/>
    <w:rsid w:val="008A3FA1"/>
    <w:rsid w:val="008A448C"/>
    <w:rsid w:val="008A4BE4"/>
    <w:rsid w:val="008A6672"/>
    <w:rsid w:val="008A753F"/>
    <w:rsid w:val="008B0D4F"/>
    <w:rsid w:val="008B11F2"/>
    <w:rsid w:val="008B1878"/>
    <w:rsid w:val="008B2B3A"/>
    <w:rsid w:val="008B340B"/>
    <w:rsid w:val="008B51D2"/>
    <w:rsid w:val="008B743B"/>
    <w:rsid w:val="008B787B"/>
    <w:rsid w:val="008C007E"/>
    <w:rsid w:val="008C0897"/>
    <w:rsid w:val="008C2626"/>
    <w:rsid w:val="008C5EC3"/>
    <w:rsid w:val="008C6EC5"/>
    <w:rsid w:val="008D0F36"/>
    <w:rsid w:val="008D1831"/>
    <w:rsid w:val="008D4BBC"/>
    <w:rsid w:val="008D6644"/>
    <w:rsid w:val="008E3B83"/>
    <w:rsid w:val="008E7282"/>
    <w:rsid w:val="008F0D84"/>
    <w:rsid w:val="008F293C"/>
    <w:rsid w:val="008F5004"/>
    <w:rsid w:val="008F5BEF"/>
    <w:rsid w:val="00900114"/>
    <w:rsid w:val="0090246D"/>
    <w:rsid w:val="0090356B"/>
    <w:rsid w:val="00910660"/>
    <w:rsid w:val="0091096B"/>
    <w:rsid w:val="009204D6"/>
    <w:rsid w:val="00926BE7"/>
    <w:rsid w:val="0093034E"/>
    <w:rsid w:val="00930B53"/>
    <w:rsid w:val="00930CF5"/>
    <w:rsid w:val="0093463E"/>
    <w:rsid w:val="00934B08"/>
    <w:rsid w:val="0094024D"/>
    <w:rsid w:val="00944645"/>
    <w:rsid w:val="00945EAA"/>
    <w:rsid w:val="009479AA"/>
    <w:rsid w:val="00950DE5"/>
    <w:rsid w:val="009515FA"/>
    <w:rsid w:val="00955354"/>
    <w:rsid w:val="00956EBF"/>
    <w:rsid w:val="00957930"/>
    <w:rsid w:val="009579E4"/>
    <w:rsid w:val="00961979"/>
    <w:rsid w:val="00963968"/>
    <w:rsid w:val="00965100"/>
    <w:rsid w:val="0097181A"/>
    <w:rsid w:val="00972668"/>
    <w:rsid w:val="00973BBD"/>
    <w:rsid w:val="00975635"/>
    <w:rsid w:val="009815CF"/>
    <w:rsid w:val="0099159F"/>
    <w:rsid w:val="00994DD7"/>
    <w:rsid w:val="00996726"/>
    <w:rsid w:val="00997E21"/>
    <w:rsid w:val="009A14B1"/>
    <w:rsid w:val="009A426E"/>
    <w:rsid w:val="009A6939"/>
    <w:rsid w:val="009A7BC6"/>
    <w:rsid w:val="009B205F"/>
    <w:rsid w:val="009B3021"/>
    <w:rsid w:val="009B42EF"/>
    <w:rsid w:val="009B562E"/>
    <w:rsid w:val="009B6D7B"/>
    <w:rsid w:val="009C0ADE"/>
    <w:rsid w:val="009C2B2F"/>
    <w:rsid w:val="009C659B"/>
    <w:rsid w:val="009C6622"/>
    <w:rsid w:val="009D2480"/>
    <w:rsid w:val="009D2F02"/>
    <w:rsid w:val="009D4571"/>
    <w:rsid w:val="009D593D"/>
    <w:rsid w:val="009D5C5E"/>
    <w:rsid w:val="009D7478"/>
    <w:rsid w:val="009E01CC"/>
    <w:rsid w:val="009E2647"/>
    <w:rsid w:val="009E374D"/>
    <w:rsid w:val="009E58C4"/>
    <w:rsid w:val="009E5E98"/>
    <w:rsid w:val="009E65FE"/>
    <w:rsid w:val="009E6A72"/>
    <w:rsid w:val="009F1903"/>
    <w:rsid w:val="00A03E5C"/>
    <w:rsid w:val="00A0693A"/>
    <w:rsid w:val="00A06EBD"/>
    <w:rsid w:val="00A10B88"/>
    <w:rsid w:val="00A111D5"/>
    <w:rsid w:val="00A11FD1"/>
    <w:rsid w:val="00A139DC"/>
    <w:rsid w:val="00A22DB6"/>
    <w:rsid w:val="00A23830"/>
    <w:rsid w:val="00A270F8"/>
    <w:rsid w:val="00A30B55"/>
    <w:rsid w:val="00A331D2"/>
    <w:rsid w:val="00A3582F"/>
    <w:rsid w:val="00A35B16"/>
    <w:rsid w:val="00A35DC2"/>
    <w:rsid w:val="00A409C4"/>
    <w:rsid w:val="00A410F6"/>
    <w:rsid w:val="00A4309F"/>
    <w:rsid w:val="00A447CA"/>
    <w:rsid w:val="00A46199"/>
    <w:rsid w:val="00A4630E"/>
    <w:rsid w:val="00A47D38"/>
    <w:rsid w:val="00A559B4"/>
    <w:rsid w:val="00A61E5B"/>
    <w:rsid w:val="00A6332D"/>
    <w:rsid w:val="00A71E86"/>
    <w:rsid w:val="00A73611"/>
    <w:rsid w:val="00A76257"/>
    <w:rsid w:val="00A77B79"/>
    <w:rsid w:val="00A77F80"/>
    <w:rsid w:val="00A816DF"/>
    <w:rsid w:val="00A825C7"/>
    <w:rsid w:val="00A82F9D"/>
    <w:rsid w:val="00A8341A"/>
    <w:rsid w:val="00A843B4"/>
    <w:rsid w:val="00A84568"/>
    <w:rsid w:val="00A871EB"/>
    <w:rsid w:val="00A9046E"/>
    <w:rsid w:val="00A907AE"/>
    <w:rsid w:val="00A90D28"/>
    <w:rsid w:val="00A9377C"/>
    <w:rsid w:val="00A953B4"/>
    <w:rsid w:val="00A96EE0"/>
    <w:rsid w:val="00AA01BC"/>
    <w:rsid w:val="00AA128F"/>
    <w:rsid w:val="00AA27F9"/>
    <w:rsid w:val="00AA280C"/>
    <w:rsid w:val="00AA3111"/>
    <w:rsid w:val="00AA4086"/>
    <w:rsid w:val="00AA75A8"/>
    <w:rsid w:val="00AB1CCA"/>
    <w:rsid w:val="00AB1FD3"/>
    <w:rsid w:val="00AB3974"/>
    <w:rsid w:val="00AC1004"/>
    <w:rsid w:val="00AC511A"/>
    <w:rsid w:val="00AC6ABA"/>
    <w:rsid w:val="00AD1388"/>
    <w:rsid w:val="00AD1CAB"/>
    <w:rsid w:val="00AD277B"/>
    <w:rsid w:val="00AD3E22"/>
    <w:rsid w:val="00AD4B3B"/>
    <w:rsid w:val="00AE1298"/>
    <w:rsid w:val="00AE20EC"/>
    <w:rsid w:val="00AE493C"/>
    <w:rsid w:val="00AE5884"/>
    <w:rsid w:val="00AE5C9C"/>
    <w:rsid w:val="00AE69DB"/>
    <w:rsid w:val="00AF1458"/>
    <w:rsid w:val="00AF553E"/>
    <w:rsid w:val="00B04016"/>
    <w:rsid w:val="00B04D5D"/>
    <w:rsid w:val="00B05C4A"/>
    <w:rsid w:val="00B05D8C"/>
    <w:rsid w:val="00B06641"/>
    <w:rsid w:val="00B06731"/>
    <w:rsid w:val="00B0749F"/>
    <w:rsid w:val="00B12A9E"/>
    <w:rsid w:val="00B1343A"/>
    <w:rsid w:val="00B160B2"/>
    <w:rsid w:val="00B16C26"/>
    <w:rsid w:val="00B3038C"/>
    <w:rsid w:val="00B33A57"/>
    <w:rsid w:val="00B3631B"/>
    <w:rsid w:val="00B411C4"/>
    <w:rsid w:val="00B41359"/>
    <w:rsid w:val="00B44F93"/>
    <w:rsid w:val="00B45EB7"/>
    <w:rsid w:val="00B5064B"/>
    <w:rsid w:val="00B52715"/>
    <w:rsid w:val="00B550B7"/>
    <w:rsid w:val="00B55CEE"/>
    <w:rsid w:val="00B56646"/>
    <w:rsid w:val="00B5791A"/>
    <w:rsid w:val="00B6124D"/>
    <w:rsid w:val="00B63B8D"/>
    <w:rsid w:val="00B65A2A"/>
    <w:rsid w:val="00B73658"/>
    <w:rsid w:val="00B73AC1"/>
    <w:rsid w:val="00B75005"/>
    <w:rsid w:val="00B75F14"/>
    <w:rsid w:val="00B83F3C"/>
    <w:rsid w:val="00B857B5"/>
    <w:rsid w:val="00B919BD"/>
    <w:rsid w:val="00BA0FDD"/>
    <w:rsid w:val="00BA15A4"/>
    <w:rsid w:val="00BA2680"/>
    <w:rsid w:val="00BA2BB2"/>
    <w:rsid w:val="00BA3F45"/>
    <w:rsid w:val="00BA48CA"/>
    <w:rsid w:val="00BB141F"/>
    <w:rsid w:val="00BB5F9D"/>
    <w:rsid w:val="00BB666A"/>
    <w:rsid w:val="00BB685F"/>
    <w:rsid w:val="00BB6E3C"/>
    <w:rsid w:val="00BB7E14"/>
    <w:rsid w:val="00BC0A37"/>
    <w:rsid w:val="00BC1AC6"/>
    <w:rsid w:val="00BC246A"/>
    <w:rsid w:val="00BC4067"/>
    <w:rsid w:val="00BC76B0"/>
    <w:rsid w:val="00BD45D7"/>
    <w:rsid w:val="00BD51E4"/>
    <w:rsid w:val="00BD5BAC"/>
    <w:rsid w:val="00BD5D71"/>
    <w:rsid w:val="00BD6357"/>
    <w:rsid w:val="00BE0586"/>
    <w:rsid w:val="00BE0632"/>
    <w:rsid w:val="00BE0BD0"/>
    <w:rsid w:val="00BE6955"/>
    <w:rsid w:val="00BE71E7"/>
    <w:rsid w:val="00BE7250"/>
    <w:rsid w:val="00BF04E9"/>
    <w:rsid w:val="00BF1D13"/>
    <w:rsid w:val="00BF2AA1"/>
    <w:rsid w:val="00C002E9"/>
    <w:rsid w:val="00C034BA"/>
    <w:rsid w:val="00C04932"/>
    <w:rsid w:val="00C06593"/>
    <w:rsid w:val="00C131AC"/>
    <w:rsid w:val="00C13224"/>
    <w:rsid w:val="00C147C2"/>
    <w:rsid w:val="00C147FD"/>
    <w:rsid w:val="00C15E3A"/>
    <w:rsid w:val="00C16C4D"/>
    <w:rsid w:val="00C17382"/>
    <w:rsid w:val="00C17DDE"/>
    <w:rsid w:val="00C224A6"/>
    <w:rsid w:val="00C22AF7"/>
    <w:rsid w:val="00C305AD"/>
    <w:rsid w:val="00C319CE"/>
    <w:rsid w:val="00C31BA9"/>
    <w:rsid w:val="00C31F84"/>
    <w:rsid w:val="00C328A6"/>
    <w:rsid w:val="00C32B61"/>
    <w:rsid w:val="00C32D72"/>
    <w:rsid w:val="00C343C2"/>
    <w:rsid w:val="00C36207"/>
    <w:rsid w:val="00C41980"/>
    <w:rsid w:val="00C4780E"/>
    <w:rsid w:val="00C53054"/>
    <w:rsid w:val="00C5360B"/>
    <w:rsid w:val="00C54172"/>
    <w:rsid w:val="00C57775"/>
    <w:rsid w:val="00C605A6"/>
    <w:rsid w:val="00C620E3"/>
    <w:rsid w:val="00C7255B"/>
    <w:rsid w:val="00C74591"/>
    <w:rsid w:val="00C776D7"/>
    <w:rsid w:val="00C82024"/>
    <w:rsid w:val="00C83828"/>
    <w:rsid w:val="00C86804"/>
    <w:rsid w:val="00C873BA"/>
    <w:rsid w:val="00C8744C"/>
    <w:rsid w:val="00C907F7"/>
    <w:rsid w:val="00C90E5E"/>
    <w:rsid w:val="00C92120"/>
    <w:rsid w:val="00C95772"/>
    <w:rsid w:val="00C96B54"/>
    <w:rsid w:val="00C96D36"/>
    <w:rsid w:val="00CA4C28"/>
    <w:rsid w:val="00CA6DA2"/>
    <w:rsid w:val="00CB5DD9"/>
    <w:rsid w:val="00CB68C4"/>
    <w:rsid w:val="00CB6BC9"/>
    <w:rsid w:val="00CC04FA"/>
    <w:rsid w:val="00CC3591"/>
    <w:rsid w:val="00CC3F92"/>
    <w:rsid w:val="00CC7A57"/>
    <w:rsid w:val="00CD4AE9"/>
    <w:rsid w:val="00CE0423"/>
    <w:rsid w:val="00CE0BD1"/>
    <w:rsid w:val="00CE14BF"/>
    <w:rsid w:val="00CE2BA7"/>
    <w:rsid w:val="00CE31BE"/>
    <w:rsid w:val="00CE5276"/>
    <w:rsid w:val="00CE7AFD"/>
    <w:rsid w:val="00CF09AD"/>
    <w:rsid w:val="00CF18AE"/>
    <w:rsid w:val="00CF414A"/>
    <w:rsid w:val="00CF5658"/>
    <w:rsid w:val="00CF56CF"/>
    <w:rsid w:val="00CF66F8"/>
    <w:rsid w:val="00CF68AD"/>
    <w:rsid w:val="00CF6D6F"/>
    <w:rsid w:val="00CF7533"/>
    <w:rsid w:val="00CF7B4A"/>
    <w:rsid w:val="00D00425"/>
    <w:rsid w:val="00D0266C"/>
    <w:rsid w:val="00D03A1B"/>
    <w:rsid w:val="00D04F1E"/>
    <w:rsid w:val="00D05626"/>
    <w:rsid w:val="00D07E11"/>
    <w:rsid w:val="00D20E17"/>
    <w:rsid w:val="00D20E84"/>
    <w:rsid w:val="00D21D10"/>
    <w:rsid w:val="00D25E25"/>
    <w:rsid w:val="00D2656D"/>
    <w:rsid w:val="00D278B2"/>
    <w:rsid w:val="00D30720"/>
    <w:rsid w:val="00D32A1D"/>
    <w:rsid w:val="00D32EF9"/>
    <w:rsid w:val="00D33778"/>
    <w:rsid w:val="00D35802"/>
    <w:rsid w:val="00D42B41"/>
    <w:rsid w:val="00D46EB0"/>
    <w:rsid w:val="00D50E86"/>
    <w:rsid w:val="00D51DF0"/>
    <w:rsid w:val="00D5333F"/>
    <w:rsid w:val="00D53442"/>
    <w:rsid w:val="00D5541F"/>
    <w:rsid w:val="00D55FE7"/>
    <w:rsid w:val="00D5627D"/>
    <w:rsid w:val="00D56804"/>
    <w:rsid w:val="00D65E6B"/>
    <w:rsid w:val="00D66069"/>
    <w:rsid w:val="00D733D6"/>
    <w:rsid w:val="00D82A2E"/>
    <w:rsid w:val="00D8394E"/>
    <w:rsid w:val="00D84744"/>
    <w:rsid w:val="00D876D1"/>
    <w:rsid w:val="00DA04FC"/>
    <w:rsid w:val="00DA1BD1"/>
    <w:rsid w:val="00DA22DE"/>
    <w:rsid w:val="00DA26D1"/>
    <w:rsid w:val="00DB0279"/>
    <w:rsid w:val="00DB124C"/>
    <w:rsid w:val="00DB52AE"/>
    <w:rsid w:val="00DC2A0C"/>
    <w:rsid w:val="00DC2B30"/>
    <w:rsid w:val="00DC51CB"/>
    <w:rsid w:val="00DC5B24"/>
    <w:rsid w:val="00DC7C03"/>
    <w:rsid w:val="00DC7FE6"/>
    <w:rsid w:val="00DD102A"/>
    <w:rsid w:val="00DD381D"/>
    <w:rsid w:val="00DD5F5D"/>
    <w:rsid w:val="00DE2995"/>
    <w:rsid w:val="00DE3106"/>
    <w:rsid w:val="00DF2D29"/>
    <w:rsid w:val="00DF580B"/>
    <w:rsid w:val="00DF5A99"/>
    <w:rsid w:val="00DF67D9"/>
    <w:rsid w:val="00DF6E88"/>
    <w:rsid w:val="00DF7223"/>
    <w:rsid w:val="00E00688"/>
    <w:rsid w:val="00E01673"/>
    <w:rsid w:val="00E025D4"/>
    <w:rsid w:val="00E05C7D"/>
    <w:rsid w:val="00E06141"/>
    <w:rsid w:val="00E06667"/>
    <w:rsid w:val="00E12DFB"/>
    <w:rsid w:val="00E1595A"/>
    <w:rsid w:val="00E20FD8"/>
    <w:rsid w:val="00E213CC"/>
    <w:rsid w:val="00E23215"/>
    <w:rsid w:val="00E23401"/>
    <w:rsid w:val="00E245F5"/>
    <w:rsid w:val="00E40E4B"/>
    <w:rsid w:val="00E41492"/>
    <w:rsid w:val="00E50520"/>
    <w:rsid w:val="00E5414A"/>
    <w:rsid w:val="00E55359"/>
    <w:rsid w:val="00E55741"/>
    <w:rsid w:val="00E558AD"/>
    <w:rsid w:val="00E701F5"/>
    <w:rsid w:val="00E720D3"/>
    <w:rsid w:val="00E72B68"/>
    <w:rsid w:val="00E73113"/>
    <w:rsid w:val="00E85D41"/>
    <w:rsid w:val="00E87068"/>
    <w:rsid w:val="00E9112D"/>
    <w:rsid w:val="00E9117A"/>
    <w:rsid w:val="00E94858"/>
    <w:rsid w:val="00E95E34"/>
    <w:rsid w:val="00EA0FCE"/>
    <w:rsid w:val="00EA73DF"/>
    <w:rsid w:val="00EB1731"/>
    <w:rsid w:val="00EB1C84"/>
    <w:rsid w:val="00EB5CF3"/>
    <w:rsid w:val="00EB63BD"/>
    <w:rsid w:val="00EB642C"/>
    <w:rsid w:val="00EC0F44"/>
    <w:rsid w:val="00EC17C9"/>
    <w:rsid w:val="00EC771F"/>
    <w:rsid w:val="00EC7DB4"/>
    <w:rsid w:val="00ED536F"/>
    <w:rsid w:val="00ED5756"/>
    <w:rsid w:val="00ED743A"/>
    <w:rsid w:val="00ED78AD"/>
    <w:rsid w:val="00EE3DFE"/>
    <w:rsid w:val="00EF0CC0"/>
    <w:rsid w:val="00EF3F06"/>
    <w:rsid w:val="00EF454E"/>
    <w:rsid w:val="00F0569C"/>
    <w:rsid w:val="00F141BD"/>
    <w:rsid w:val="00F175B7"/>
    <w:rsid w:val="00F20AEE"/>
    <w:rsid w:val="00F211B2"/>
    <w:rsid w:val="00F2249D"/>
    <w:rsid w:val="00F22B9B"/>
    <w:rsid w:val="00F22D16"/>
    <w:rsid w:val="00F2511C"/>
    <w:rsid w:val="00F26091"/>
    <w:rsid w:val="00F2713E"/>
    <w:rsid w:val="00F33D54"/>
    <w:rsid w:val="00F3453C"/>
    <w:rsid w:val="00F35765"/>
    <w:rsid w:val="00F369D0"/>
    <w:rsid w:val="00F36AEC"/>
    <w:rsid w:val="00F43A4F"/>
    <w:rsid w:val="00F44531"/>
    <w:rsid w:val="00F453FE"/>
    <w:rsid w:val="00F473F4"/>
    <w:rsid w:val="00F47FF2"/>
    <w:rsid w:val="00F51487"/>
    <w:rsid w:val="00F528FE"/>
    <w:rsid w:val="00F54038"/>
    <w:rsid w:val="00F60B77"/>
    <w:rsid w:val="00F61FC3"/>
    <w:rsid w:val="00F65DC5"/>
    <w:rsid w:val="00F672FF"/>
    <w:rsid w:val="00F707C0"/>
    <w:rsid w:val="00F777CC"/>
    <w:rsid w:val="00F77F19"/>
    <w:rsid w:val="00F8747B"/>
    <w:rsid w:val="00F90801"/>
    <w:rsid w:val="00F917CB"/>
    <w:rsid w:val="00F928C8"/>
    <w:rsid w:val="00F93530"/>
    <w:rsid w:val="00F93E0C"/>
    <w:rsid w:val="00F95D32"/>
    <w:rsid w:val="00F9604E"/>
    <w:rsid w:val="00FA0651"/>
    <w:rsid w:val="00FA1C90"/>
    <w:rsid w:val="00FA4248"/>
    <w:rsid w:val="00FA603C"/>
    <w:rsid w:val="00FA6A5B"/>
    <w:rsid w:val="00FA7AC0"/>
    <w:rsid w:val="00FB06B2"/>
    <w:rsid w:val="00FB3709"/>
    <w:rsid w:val="00FB6BB5"/>
    <w:rsid w:val="00FC08E7"/>
    <w:rsid w:val="00FC1CD3"/>
    <w:rsid w:val="00FC37F3"/>
    <w:rsid w:val="00FC4704"/>
    <w:rsid w:val="00FC6013"/>
    <w:rsid w:val="00FD172F"/>
    <w:rsid w:val="00FD3B4F"/>
    <w:rsid w:val="00FD5179"/>
    <w:rsid w:val="00FD5657"/>
    <w:rsid w:val="00FD7829"/>
    <w:rsid w:val="00FE390B"/>
    <w:rsid w:val="00FE710B"/>
    <w:rsid w:val="00FE7A2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07F9AAA"/>
  <w15:docId w15:val="{0F82A0E4-CF98-4195-BD34-0CDB9324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pPr>
      <w:spacing w:before="240"/>
      <w:ind w:firstLine="720"/>
    </w:pPr>
    <w:rPr>
      <w:sz w:val="24"/>
      <w:lang w:eastAsia="en-US"/>
    </w:rPr>
  </w:style>
  <w:style w:type="paragraph" w:styleId="Heading1">
    <w:name w:val="heading 1"/>
    <w:basedOn w:val="Normal"/>
    <w:next w:val="Normal"/>
    <w:qFormat/>
    <w:pPr>
      <w:numPr>
        <w:numId w:val="18"/>
      </w:numPr>
      <w:tabs>
        <w:tab w:val="clear" w:pos="1080"/>
        <w:tab w:val="num" w:pos="360"/>
      </w:tabs>
      <w:ind w:firstLine="0"/>
      <w:outlineLvl w:val="0"/>
    </w:pPr>
    <w:rPr>
      <w:kern w:val="28"/>
    </w:rPr>
  </w:style>
  <w:style w:type="paragraph" w:styleId="Heading2">
    <w:name w:val="heading 2"/>
    <w:basedOn w:val="Normal"/>
    <w:next w:val="Normal"/>
    <w:qFormat/>
    <w:pPr>
      <w:numPr>
        <w:ilvl w:val="1"/>
        <w:numId w:val="18"/>
      </w:numPr>
      <w:tabs>
        <w:tab w:val="clear" w:pos="1800"/>
        <w:tab w:val="num" w:pos="360"/>
      </w:tabs>
      <w:ind w:firstLine="0"/>
      <w:outlineLvl w:val="1"/>
    </w:pPr>
  </w:style>
  <w:style w:type="paragraph" w:styleId="Heading3">
    <w:name w:val="heading 3"/>
    <w:basedOn w:val="Normal"/>
    <w:next w:val="Normal"/>
    <w:qFormat/>
    <w:pPr>
      <w:numPr>
        <w:ilvl w:val="2"/>
        <w:numId w:val="18"/>
      </w:numPr>
      <w:tabs>
        <w:tab w:val="clear" w:pos="2880"/>
        <w:tab w:val="num" w:pos="360"/>
      </w:tabs>
      <w:ind w:firstLine="0"/>
      <w:outlineLvl w:val="2"/>
    </w:pPr>
  </w:style>
  <w:style w:type="paragraph" w:styleId="Heading4">
    <w:name w:val="heading 4"/>
    <w:basedOn w:val="Normal"/>
    <w:next w:val="Normal"/>
    <w:qFormat/>
    <w:pPr>
      <w:numPr>
        <w:ilvl w:val="3"/>
        <w:numId w:val="18"/>
      </w:numPr>
      <w:tabs>
        <w:tab w:val="clear" w:pos="3240"/>
        <w:tab w:val="num" w:pos="360"/>
      </w:tabs>
      <w:ind w:firstLine="0"/>
      <w:outlineLvl w:val="3"/>
    </w:pPr>
  </w:style>
  <w:style w:type="paragraph" w:styleId="Heading5">
    <w:name w:val="heading 5"/>
    <w:basedOn w:val="Normal"/>
    <w:next w:val="Normal"/>
    <w:qFormat/>
    <w:pPr>
      <w:numPr>
        <w:ilvl w:val="4"/>
        <w:numId w:val="18"/>
      </w:numPr>
      <w:tabs>
        <w:tab w:val="clear" w:pos="3960"/>
        <w:tab w:val="num" w:pos="360"/>
      </w:tabs>
      <w:ind w:firstLine="0"/>
      <w:outlineLvl w:val="4"/>
    </w:pPr>
  </w:style>
  <w:style w:type="paragraph" w:styleId="Heading6">
    <w:name w:val="heading 6"/>
    <w:basedOn w:val="Normal"/>
    <w:next w:val="Normal"/>
    <w:qFormat/>
    <w:pPr>
      <w:numPr>
        <w:ilvl w:val="5"/>
        <w:numId w:val="18"/>
      </w:numPr>
      <w:tabs>
        <w:tab w:val="clear" w:pos="5040"/>
        <w:tab w:val="num" w:pos="360"/>
      </w:tabs>
      <w:ind w:firstLine="0"/>
      <w:outlineLvl w:val="5"/>
    </w:pPr>
  </w:style>
  <w:style w:type="paragraph" w:styleId="Heading7">
    <w:name w:val="heading 7"/>
    <w:basedOn w:val="Normal"/>
    <w:next w:val="Normal"/>
    <w:qFormat/>
    <w:pPr>
      <w:numPr>
        <w:ilvl w:val="6"/>
        <w:numId w:val="18"/>
      </w:numPr>
      <w:tabs>
        <w:tab w:val="clear" w:pos="5400"/>
        <w:tab w:val="num" w:pos="360"/>
      </w:tabs>
      <w:ind w:firstLine="0"/>
      <w:outlineLvl w:val="6"/>
    </w:pPr>
  </w:style>
  <w:style w:type="paragraph" w:styleId="Heading8">
    <w:name w:val="heading 8"/>
    <w:basedOn w:val="Normal"/>
    <w:next w:val="Normal"/>
    <w:qFormat/>
    <w:pPr>
      <w:numPr>
        <w:ilvl w:val="7"/>
        <w:numId w:val="18"/>
      </w:numPr>
      <w:tabs>
        <w:tab w:val="clear" w:pos="6120"/>
        <w:tab w:val="num" w:pos="360"/>
      </w:tabs>
      <w:ind w:firstLine="0"/>
      <w:outlineLvl w:val="7"/>
    </w:pPr>
  </w:style>
  <w:style w:type="paragraph" w:styleId="Heading9">
    <w:name w:val="heading 9"/>
    <w:basedOn w:val="Normal"/>
    <w:next w:val="Normal"/>
    <w:qFormat/>
    <w:pPr>
      <w:spacing w:after="60"/>
      <w:ind w:firstLine="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sz w:val="20"/>
    </w:rPr>
  </w:style>
  <w:style w:type="character" w:styleId="CommentReference">
    <w:name w:val="annotation reference"/>
    <w:basedOn w:val="DefaultParagraphFont"/>
    <w:rPr>
      <w:sz w:val="16"/>
      <w:lang w:val="en-US"/>
    </w:rPr>
  </w:style>
  <w:style w:type="paragraph" w:styleId="CommentText">
    <w:name w:val="annotation text"/>
    <w:basedOn w:val="Normal"/>
    <w:link w:val="CommentTextChar"/>
    <w:rPr>
      <w:sz w:val="20"/>
    </w:rPr>
  </w:style>
  <w:style w:type="paragraph" w:styleId="DocumentMap">
    <w:name w:val="Document Map"/>
    <w:basedOn w:val="Normal"/>
    <w:pPr>
      <w:shd w:val="clear" w:color="auto" w:fill="000080"/>
    </w:pPr>
    <w:rPr>
      <w:rFonts w:ascii="Tahoma" w:hAnsi="Tahoma" w:cs="Tahoma"/>
      <w:sz w:val="20"/>
    </w:rPr>
  </w:style>
  <w:style w:type="character" w:styleId="EndnoteReference">
    <w:name w:val="endnote reference"/>
    <w:basedOn w:val="DefaultParagraphFont"/>
    <w:rPr>
      <w:vertAlign w:val="superscript"/>
    </w:rPr>
  </w:style>
  <w:style w:type="paragraph" w:styleId="EndnoteText">
    <w:name w:val="endnote text"/>
    <w:basedOn w:val="Normal"/>
    <w:pPr>
      <w:tabs>
        <w:tab w:val="left" w:pos="360"/>
      </w:tabs>
      <w:spacing w:before="120" w:after="120"/>
      <w:ind w:firstLine="360"/>
    </w:pPr>
    <w:rPr>
      <w:sz w:val="20"/>
    </w:rPr>
  </w:style>
  <w:style w:type="character" w:styleId="FootnoteReference">
    <w:name w:val="footnote reference"/>
    <w:basedOn w:val="DefaultParagraphFont"/>
    <w:uiPriority w:val="99"/>
    <w:rPr>
      <w:vertAlign w:val="superscript"/>
    </w:rPr>
  </w:style>
  <w:style w:type="paragraph" w:styleId="FootnoteText">
    <w:name w:val="footnote text"/>
    <w:basedOn w:val="Normal"/>
    <w:link w:val="FootnoteTextChar"/>
    <w:uiPriority w:val="99"/>
    <w:pPr>
      <w:tabs>
        <w:tab w:val="left" w:pos="360"/>
      </w:tabs>
      <w:spacing w:before="120" w:after="120"/>
      <w:ind w:firstLine="360"/>
    </w:p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next w:val="Index1"/>
    <w:rPr>
      <w:rFonts w:ascii="Arial" w:hAnsi="Arial" w:cs="Arial"/>
      <w:b/>
      <w:bCs/>
    </w:r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pPr>
      <w:spacing w:before="120"/>
    </w:pPr>
    <w:rPr>
      <w:rFonts w:ascii="Arial" w:hAnsi="Arial" w:cs="Arial"/>
      <w:b/>
      <w:bCs/>
    </w:rPr>
  </w:style>
  <w:style w:type="paragraph" w:styleId="TOC1">
    <w:name w:val="toc 1"/>
    <w:basedOn w:val="Normal"/>
    <w:next w:val="Normal"/>
    <w:pPr>
      <w:tabs>
        <w:tab w:val="right" w:pos="720"/>
        <w:tab w:val="right" w:leader="dot" w:pos="9706"/>
      </w:tabs>
      <w:spacing w:before="120" w:after="120"/>
      <w:ind w:left="720" w:right="720" w:hanging="720"/>
    </w:pPr>
    <w:rPr>
      <w:noProof/>
      <w:snapToGrid w:val="0"/>
    </w:rPr>
  </w:style>
  <w:style w:type="paragraph" w:styleId="TOC2">
    <w:name w:val="toc 2"/>
    <w:basedOn w:val="Normal"/>
    <w:next w:val="Normal"/>
    <w:pPr>
      <w:widowControl w:val="0"/>
      <w:tabs>
        <w:tab w:val="left" w:pos="1440"/>
        <w:tab w:val="right" w:leader="dot" w:pos="9706"/>
      </w:tabs>
      <w:spacing w:before="0"/>
      <w:ind w:left="1440" w:right="720" w:hanging="720"/>
    </w:pPr>
    <w:rPr>
      <w:snapToGrid w:val="0"/>
    </w:rPr>
  </w:style>
  <w:style w:type="paragraph" w:styleId="TOC3">
    <w:name w:val="toc 3"/>
    <w:basedOn w:val="Normal"/>
    <w:next w:val="Normal"/>
    <w:autoRedefine/>
    <w:pPr>
      <w:ind w:left="480"/>
    </w:pPr>
  </w:style>
  <w:style w:type="paragraph" w:styleId="TOC4">
    <w:name w:val="toc 4"/>
    <w:basedOn w:val="Normal"/>
    <w:next w:val="Normal"/>
    <w:autoRedefine/>
    <w:pPr>
      <w:ind w:left="720"/>
    </w:pPr>
  </w:style>
  <w:style w:type="paragraph" w:styleId="TOC5">
    <w:name w:val="toc 5"/>
    <w:basedOn w:val="Normal"/>
    <w:next w:val="Normal"/>
    <w:autoRedefine/>
    <w:pPr>
      <w:ind w:left="960"/>
    </w:pPr>
  </w:style>
  <w:style w:type="paragraph" w:styleId="TOC6">
    <w:name w:val="toc 6"/>
    <w:basedOn w:val="Normal"/>
    <w:next w:val="Normal"/>
    <w:autoRedefine/>
    <w:pPr>
      <w:ind w:left="1200"/>
    </w:pPr>
  </w:style>
  <w:style w:type="paragraph" w:styleId="TOC7">
    <w:name w:val="toc 7"/>
    <w:basedOn w:val="Normal"/>
    <w:next w:val="Normal"/>
    <w:autoRedefine/>
    <w:pPr>
      <w:ind w:left="1440"/>
    </w:pPr>
  </w:style>
  <w:style w:type="paragraph" w:styleId="TOC8">
    <w:name w:val="toc 8"/>
    <w:basedOn w:val="Normal"/>
    <w:next w:val="Normal"/>
    <w:autoRedefine/>
    <w:pPr>
      <w:ind w:left="1680"/>
    </w:pPr>
  </w:style>
  <w:style w:type="paragraph" w:styleId="TOC9">
    <w:name w:val="toc 9"/>
    <w:basedOn w:val="Normal"/>
    <w:next w:val="Normal"/>
    <w:autoRedefine/>
    <w:pPr>
      <w:ind w:left="1920"/>
    </w:pPr>
  </w:style>
  <w:style w:type="paragraph" w:customStyle="1" w:styleId="CenterText">
    <w:name w:val="Center Text"/>
    <w:basedOn w:val="Normal"/>
    <w:next w:val="Normal"/>
    <w:pPr>
      <w:ind w:firstLine="0"/>
      <w:jc w:val="center"/>
    </w:pPr>
  </w:style>
  <w:style w:type="paragraph" w:customStyle="1" w:styleId="CenterTextBold">
    <w:name w:val="Center Text Bold"/>
    <w:basedOn w:val="CenterText"/>
    <w:next w:val="Normal"/>
    <w:rPr>
      <w:b/>
    </w:rPr>
  </w:style>
  <w:style w:type="paragraph" w:customStyle="1" w:styleId="CenterTextBoldUnd">
    <w:name w:val="Center Text Bold/Und"/>
    <w:basedOn w:val="CenterText"/>
    <w:next w:val="Normal"/>
    <w:rPr>
      <w:b/>
      <w:u w:val="single"/>
    </w:rPr>
  </w:style>
  <w:style w:type="paragraph" w:customStyle="1" w:styleId="Def2Heading1">
    <w:name w:val="Def2 Heading 1"/>
    <w:basedOn w:val="Normal"/>
    <w:next w:val="Normal"/>
    <w:pPr>
      <w:numPr>
        <w:numId w:val="5"/>
      </w:numPr>
    </w:pPr>
  </w:style>
  <w:style w:type="paragraph" w:customStyle="1" w:styleId="Def2Heading2">
    <w:name w:val="Def2 Heading 2"/>
    <w:basedOn w:val="Normal"/>
    <w:next w:val="Normal"/>
    <w:pPr>
      <w:numPr>
        <w:ilvl w:val="1"/>
        <w:numId w:val="5"/>
      </w:numPr>
    </w:pPr>
  </w:style>
  <w:style w:type="paragraph" w:customStyle="1" w:styleId="Def2Heading3">
    <w:name w:val="Def2 Heading 3"/>
    <w:basedOn w:val="Normal"/>
    <w:next w:val="Normal"/>
    <w:pPr>
      <w:numPr>
        <w:ilvl w:val="2"/>
        <w:numId w:val="5"/>
      </w:numPr>
    </w:pPr>
  </w:style>
  <w:style w:type="paragraph" w:customStyle="1" w:styleId="Def2Heading4">
    <w:name w:val="Def2 Heading 4"/>
    <w:basedOn w:val="Normal"/>
    <w:next w:val="Normal"/>
    <w:pPr>
      <w:numPr>
        <w:ilvl w:val="3"/>
        <w:numId w:val="5"/>
      </w:numPr>
    </w:pPr>
  </w:style>
  <w:style w:type="paragraph" w:customStyle="1" w:styleId="Def2Heading5">
    <w:name w:val="Def2 Heading 5"/>
    <w:basedOn w:val="Normal"/>
    <w:next w:val="Normal"/>
    <w:pPr>
      <w:numPr>
        <w:ilvl w:val="4"/>
        <w:numId w:val="5"/>
      </w:numPr>
    </w:pPr>
  </w:style>
  <w:style w:type="paragraph" w:styleId="EnvelopeAddress">
    <w:name w:val="envelope address"/>
    <w:basedOn w:val="Normal"/>
    <w:pPr>
      <w:framePr w:w="7920" w:h="1980" w:hRule="exact" w:hSpace="180" w:wrap="auto" w:hAnchor="page" w:xAlign="center" w:yAlign="bottom"/>
      <w:spacing w:before="0"/>
      <w:ind w:left="2880" w:firstLine="0"/>
    </w:pPr>
  </w:style>
  <w:style w:type="paragraph" w:styleId="EnvelopeReturn">
    <w:name w:val="envelope return"/>
    <w:basedOn w:val="Normal"/>
    <w:pPr>
      <w:spacing w:before="0"/>
      <w:ind w:firstLine="0"/>
    </w:pPr>
  </w:style>
  <w:style w:type="paragraph" w:customStyle="1" w:styleId="ExAHeading1">
    <w:name w:val="ExA Heading 1"/>
    <w:basedOn w:val="Normal"/>
    <w:next w:val="Normal"/>
    <w:pPr>
      <w:numPr>
        <w:numId w:val="10"/>
      </w:numPr>
    </w:pPr>
  </w:style>
  <w:style w:type="paragraph" w:customStyle="1" w:styleId="ExAHeading2">
    <w:name w:val="ExA Heading 2"/>
    <w:basedOn w:val="Normal"/>
    <w:next w:val="Normal"/>
    <w:pPr>
      <w:numPr>
        <w:ilvl w:val="1"/>
        <w:numId w:val="10"/>
      </w:numPr>
    </w:pPr>
  </w:style>
  <w:style w:type="paragraph" w:customStyle="1" w:styleId="ExAHeading3">
    <w:name w:val="ExA Heading 3"/>
    <w:basedOn w:val="Normal"/>
    <w:next w:val="Normal"/>
    <w:pPr>
      <w:numPr>
        <w:ilvl w:val="2"/>
        <w:numId w:val="10"/>
      </w:numPr>
    </w:pPr>
  </w:style>
  <w:style w:type="paragraph" w:customStyle="1" w:styleId="ExAHeading4">
    <w:name w:val="ExA Heading 4"/>
    <w:basedOn w:val="Normal"/>
    <w:next w:val="Normal"/>
    <w:pPr>
      <w:numPr>
        <w:ilvl w:val="3"/>
        <w:numId w:val="10"/>
      </w:numPr>
    </w:pPr>
  </w:style>
  <w:style w:type="paragraph" w:customStyle="1" w:styleId="ExAHeading5">
    <w:name w:val="ExA Heading 5"/>
    <w:basedOn w:val="Normal"/>
    <w:next w:val="Normal"/>
    <w:pPr>
      <w:numPr>
        <w:ilvl w:val="4"/>
        <w:numId w:val="10"/>
      </w:numPr>
    </w:pPr>
  </w:style>
  <w:style w:type="paragraph" w:customStyle="1" w:styleId="FlushRight">
    <w:name w:val="Flush Right"/>
    <w:basedOn w:val="Normal"/>
    <w:next w:val="Normal"/>
    <w:pPr>
      <w:tabs>
        <w:tab w:val="right" w:pos="9648"/>
      </w:tabs>
      <w:ind w:firstLine="0"/>
    </w:pPr>
  </w:style>
  <w:style w:type="paragraph" w:styleId="Footer">
    <w:name w:val="footer"/>
    <w:basedOn w:val="Normal"/>
    <w:pPr>
      <w:tabs>
        <w:tab w:val="center" w:pos="5040"/>
        <w:tab w:val="right" w:pos="9720"/>
      </w:tabs>
      <w:spacing w:before="0"/>
      <w:ind w:firstLine="0"/>
    </w:pPr>
  </w:style>
  <w:style w:type="paragraph" w:styleId="Header">
    <w:name w:val="header"/>
    <w:basedOn w:val="Normal"/>
    <w:link w:val="HeaderChar"/>
    <w:pPr>
      <w:tabs>
        <w:tab w:val="center" w:pos="4320"/>
        <w:tab w:val="right" w:pos="8640"/>
      </w:tabs>
      <w:spacing w:before="0"/>
      <w:ind w:firstLine="0"/>
    </w:pPr>
  </w:style>
  <w:style w:type="paragraph" w:customStyle="1" w:styleId="Label">
    <w:name w:val="Label"/>
    <w:basedOn w:val="Normal"/>
    <w:pPr>
      <w:spacing w:before="0"/>
      <w:ind w:firstLine="0"/>
    </w:pPr>
  </w:style>
  <w:style w:type="character" w:styleId="PageNumber">
    <w:name w:val="page number"/>
    <w:basedOn w:val="DefaultParagraphFont"/>
    <w:rPr>
      <w:rFonts w:ascii="Times New Roman" w:hAnsi="Times New Roman"/>
      <w:sz w:val="24"/>
      <w:lang w:val="en-US"/>
    </w:rPr>
  </w:style>
  <w:style w:type="paragraph" w:customStyle="1" w:styleId="SignatureLine">
    <w:name w:val="Signature Line"/>
    <w:basedOn w:val="Normal"/>
    <w:pPr>
      <w:tabs>
        <w:tab w:val="left" w:pos="5472"/>
        <w:tab w:val="left" w:pos="9648"/>
      </w:tabs>
      <w:ind w:left="5040" w:firstLine="0"/>
    </w:pPr>
  </w:style>
  <w:style w:type="paragraph" w:customStyle="1" w:styleId="SignatureLine2-col">
    <w:name w:val="Signature Line 2-col"/>
    <w:basedOn w:val="Normal"/>
    <w:pPr>
      <w:tabs>
        <w:tab w:val="left" w:pos="432"/>
        <w:tab w:val="left" w:pos="4320"/>
        <w:tab w:val="left" w:pos="5040"/>
        <w:tab w:val="left" w:pos="5472"/>
        <w:tab w:val="left" w:pos="9648"/>
      </w:tabs>
      <w:ind w:firstLine="0"/>
    </w:pPr>
  </w:style>
  <w:style w:type="paragraph" w:customStyle="1" w:styleId="TableStyle">
    <w:name w:val="Table Style"/>
    <w:basedOn w:val="Normal"/>
    <w:pPr>
      <w:spacing w:before="0"/>
      <w:ind w:firstLine="0"/>
    </w:pPr>
  </w:style>
  <w:style w:type="character" w:customStyle="1" w:styleId="DeltaViewDeletion">
    <w:name w:val="DeltaView Deletion"/>
    <w:rPr>
      <w:strike/>
      <w:color w:val="FF0000"/>
    </w:rPr>
  </w:style>
  <w:style w:type="character" w:customStyle="1" w:styleId="HeaderChar">
    <w:name w:val="Header Char"/>
    <w:basedOn w:val="DefaultParagraphFont"/>
    <w:link w:val="Header"/>
    <w:rPr>
      <w:sz w:val="24"/>
    </w:rPr>
  </w:style>
  <w:style w:type="paragraph" w:styleId="ListParagraph">
    <w:name w:val="List Paragraph"/>
    <w:basedOn w:val="Normal"/>
    <w:uiPriority w:val="34"/>
    <w:qFormat/>
    <w:rsid w:val="00EB5CF3"/>
    <w:pPr>
      <w:ind w:left="720"/>
      <w:contextualSpacing/>
    </w:pPr>
  </w:style>
  <w:style w:type="character" w:customStyle="1" w:styleId="CommentTextChar">
    <w:name w:val="Comment Text Char"/>
    <w:basedOn w:val="DefaultParagraphFont"/>
    <w:link w:val="CommentText"/>
    <w:rsid w:val="0074081B"/>
    <w:rPr>
      <w:lang w:eastAsia="en-US"/>
    </w:rPr>
  </w:style>
  <w:style w:type="paragraph" w:styleId="BalloonText">
    <w:name w:val="Balloon Text"/>
    <w:basedOn w:val="Normal"/>
    <w:link w:val="BalloonTextChar"/>
    <w:rsid w:val="0074081B"/>
    <w:pPr>
      <w:spacing w:before="0"/>
    </w:pPr>
    <w:rPr>
      <w:rFonts w:ascii="Lucida Grande" w:hAnsi="Lucida Grande" w:cs="Lucida Grande"/>
      <w:sz w:val="18"/>
      <w:szCs w:val="18"/>
    </w:rPr>
  </w:style>
  <w:style w:type="character" w:customStyle="1" w:styleId="BalloonTextChar">
    <w:name w:val="Balloon Text Char"/>
    <w:basedOn w:val="DefaultParagraphFont"/>
    <w:link w:val="BalloonText"/>
    <w:rsid w:val="0074081B"/>
    <w:rPr>
      <w:rFonts w:ascii="Lucida Grande" w:hAnsi="Lucida Grande" w:cs="Lucida Grande"/>
      <w:sz w:val="18"/>
      <w:szCs w:val="18"/>
      <w:lang w:eastAsia="en-US"/>
    </w:rPr>
  </w:style>
  <w:style w:type="character" w:customStyle="1" w:styleId="FootnoteTextChar">
    <w:name w:val="Footnote Text Char"/>
    <w:link w:val="FootnoteText"/>
    <w:uiPriority w:val="99"/>
    <w:rsid w:val="00CB68C4"/>
    <w:rPr>
      <w:sz w:val="24"/>
      <w:lang w:eastAsia="en-US"/>
    </w:rPr>
  </w:style>
  <w:style w:type="character" w:styleId="Hyperlink">
    <w:name w:val="Hyperlink"/>
    <w:rsid w:val="002022C3"/>
    <w:rPr>
      <w:color w:val="0563C1"/>
      <w:u w:val="single"/>
    </w:rPr>
  </w:style>
  <w:style w:type="character" w:styleId="UnresolvedMention">
    <w:name w:val="Unresolved Mention"/>
    <w:basedOn w:val="DefaultParagraphFont"/>
    <w:rsid w:val="00654811"/>
    <w:rPr>
      <w:color w:val="605E5C"/>
      <w:shd w:val="clear" w:color="auto" w:fill="E1DFDD"/>
    </w:rPr>
  </w:style>
  <w:style w:type="character" w:styleId="FollowedHyperlink">
    <w:name w:val="FollowedHyperlink"/>
    <w:basedOn w:val="DefaultParagraphFont"/>
    <w:semiHidden/>
    <w:unhideWhenUsed/>
    <w:rsid w:val="006548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ycombinator.com/document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TLN!5200439.2</documentid>
  <senderid>ANTTI.PERLI</senderid>
  <senderemail>ANTTI.PERLI@ELLEX.LEGAL</senderemail>
  <lastmodified>2026-07-15T16:21:00.0000000+03:00</lastmodified>
  <database>TLN</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06B88-4922-4E56-8688-6C01DE0EEB8A}">
  <ds:schemaRefs>
    <ds:schemaRef ds:uri="http://www.imanage.com/work/xmlschema"/>
  </ds:schemaRefs>
</ds:datastoreItem>
</file>

<file path=customXml/itemProps2.xml><?xml version="1.0" encoding="utf-8"?>
<ds:datastoreItem xmlns:ds="http://schemas.openxmlformats.org/officeDocument/2006/customXml" ds:itemID="{AC8B1525-9543-4C90-9410-B8361EB89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3702</Words>
  <Characters>19624</Characters>
  <Application>Microsoft Office Word</Application>
  <DocSecurity>0</DocSecurity>
  <Lines>272</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Ellex Raidla</cp:lastModifiedBy>
  <cp:revision>3</cp:revision>
  <cp:lastPrinted>2010-10-19T01:48:00Z</cp:lastPrinted>
  <dcterms:created xsi:type="dcterms:W3CDTF">2026-09-13T18:39:00Z</dcterms:created>
  <dcterms:modified xsi:type="dcterms:W3CDTF">2026-09-14T07:53:00Z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753ef2ccc340d03f">
    <vt:lpwstr>019f65ac-aff5-703f-9f4b-1dfdc617c8ee</vt:lpwstr>
  </property>
</Properties>
</file>